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9D13C" w14:textId="10F0714A" w:rsidR="009F0679" w:rsidRPr="003B0E50" w:rsidRDefault="00310017">
      <w:pPr>
        <w:spacing w:before="240"/>
        <w:jc w:val="right"/>
        <w:rPr>
          <w:b/>
          <w:sz w:val="24"/>
          <w:szCs w:val="24"/>
        </w:rPr>
      </w:pPr>
      <w:r w:rsidRPr="003B0E50">
        <w:rPr>
          <w:b/>
          <w:sz w:val="24"/>
          <w:szCs w:val="24"/>
        </w:rPr>
        <w:t>20</w:t>
      </w:r>
      <w:r w:rsidR="00AF23AC" w:rsidRPr="003B0E50">
        <w:rPr>
          <w:b/>
          <w:sz w:val="24"/>
          <w:szCs w:val="24"/>
        </w:rPr>
        <w:t xml:space="preserve"> de</w:t>
      </w:r>
      <w:r w:rsidR="007C524C" w:rsidRPr="003B0E50">
        <w:rPr>
          <w:b/>
          <w:sz w:val="24"/>
          <w:szCs w:val="24"/>
        </w:rPr>
        <w:t xml:space="preserve"> </w:t>
      </w:r>
      <w:r w:rsidR="0013073A" w:rsidRPr="003B0E50">
        <w:rPr>
          <w:b/>
          <w:sz w:val="24"/>
          <w:szCs w:val="24"/>
        </w:rPr>
        <w:t xml:space="preserve">julio </w:t>
      </w:r>
      <w:r w:rsidR="00AF23AC" w:rsidRPr="003B0E50">
        <w:rPr>
          <w:b/>
          <w:sz w:val="24"/>
          <w:szCs w:val="24"/>
        </w:rPr>
        <w:t>del 2020</w:t>
      </w:r>
      <w:r w:rsidR="007C524C" w:rsidRPr="003B0E50">
        <w:rPr>
          <w:b/>
          <w:sz w:val="24"/>
          <w:szCs w:val="24"/>
        </w:rPr>
        <w:t xml:space="preserve"> </w:t>
      </w:r>
    </w:p>
    <w:p w14:paraId="05B0BC49" w14:textId="2E4048C1" w:rsidR="009F0679" w:rsidRPr="003B0E50" w:rsidRDefault="00AF23AC" w:rsidP="00310017">
      <w:pPr>
        <w:spacing w:before="240"/>
        <w:jc w:val="right"/>
        <w:rPr>
          <w:b/>
          <w:sz w:val="24"/>
          <w:szCs w:val="24"/>
        </w:rPr>
      </w:pPr>
      <w:r w:rsidRPr="003B0E50">
        <w:rPr>
          <w:b/>
          <w:sz w:val="24"/>
          <w:szCs w:val="24"/>
        </w:rPr>
        <w:t xml:space="preserve">Guadalajara, Jalisco  </w:t>
      </w:r>
    </w:p>
    <w:p w14:paraId="2C73B0D6" w14:textId="0CC7D5C6" w:rsidR="009F0679" w:rsidRPr="003B0E50" w:rsidRDefault="00AF23AC" w:rsidP="0013073A">
      <w:pPr>
        <w:spacing w:before="240"/>
        <w:jc w:val="center"/>
        <w:rPr>
          <w:b/>
          <w:sz w:val="24"/>
          <w:szCs w:val="24"/>
        </w:rPr>
      </w:pPr>
      <w:r w:rsidRPr="003B0E50">
        <w:rPr>
          <w:b/>
          <w:sz w:val="24"/>
          <w:szCs w:val="24"/>
        </w:rPr>
        <w:t xml:space="preserve">Se asigna exitosamente Crédito por 6,200 </w:t>
      </w:r>
      <w:proofErr w:type="spellStart"/>
      <w:r w:rsidRPr="003B0E50">
        <w:rPr>
          <w:b/>
          <w:sz w:val="24"/>
          <w:szCs w:val="24"/>
        </w:rPr>
        <w:t>mdp</w:t>
      </w:r>
      <w:proofErr w:type="spellEnd"/>
      <w:r w:rsidR="0013073A" w:rsidRPr="003B0E50">
        <w:rPr>
          <w:b/>
          <w:sz w:val="24"/>
          <w:szCs w:val="24"/>
        </w:rPr>
        <w:t xml:space="preserve"> </w:t>
      </w:r>
      <w:r w:rsidRPr="003B0E50">
        <w:rPr>
          <w:b/>
          <w:sz w:val="24"/>
          <w:szCs w:val="24"/>
        </w:rPr>
        <w:t>para invertir en la Reactivación Económica del Estado</w:t>
      </w:r>
    </w:p>
    <w:p w14:paraId="188EFBD9" w14:textId="45C48646" w:rsidR="009F0679" w:rsidRPr="003B0E50" w:rsidRDefault="00AF23AC" w:rsidP="00310017">
      <w:pPr>
        <w:spacing w:before="240" w:after="240"/>
        <w:jc w:val="both"/>
        <w:rPr>
          <w:b/>
          <w:sz w:val="24"/>
          <w:szCs w:val="24"/>
        </w:rPr>
      </w:pPr>
      <w:r w:rsidRPr="003B0E50">
        <w:rPr>
          <w:color w:val="333333"/>
          <w:sz w:val="24"/>
          <w:szCs w:val="24"/>
        </w:rPr>
        <w:t xml:space="preserve">La solicitud de crédito aprobada por la Comisión Interinstitucional para la Reactivación Económica, que se efectuó con el fin de </w:t>
      </w:r>
      <w:r w:rsidRPr="003B0E50">
        <w:rPr>
          <w:sz w:val="24"/>
          <w:szCs w:val="24"/>
        </w:rPr>
        <w:t>subsanar el déficit presupuestal que ha dejado la pandemia del COVID-19 en el estado</w:t>
      </w:r>
      <w:r w:rsidR="001947FD" w:rsidRPr="003B0E50">
        <w:rPr>
          <w:sz w:val="24"/>
          <w:szCs w:val="24"/>
        </w:rPr>
        <w:t xml:space="preserve"> y reactiva</w:t>
      </w:r>
      <w:r w:rsidRPr="003B0E50">
        <w:rPr>
          <w:sz w:val="24"/>
          <w:szCs w:val="24"/>
        </w:rPr>
        <w:t>r</w:t>
      </w:r>
      <w:r w:rsidR="001947FD" w:rsidRPr="003B0E50">
        <w:rPr>
          <w:sz w:val="24"/>
          <w:szCs w:val="24"/>
        </w:rPr>
        <w:t xml:space="preserve"> la economía</w:t>
      </w:r>
      <w:r w:rsidRPr="003B0E50">
        <w:rPr>
          <w:sz w:val="24"/>
          <w:szCs w:val="24"/>
        </w:rPr>
        <w:t>, fue asignad</w:t>
      </w:r>
      <w:r w:rsidR="009D7A4E" w:rsidRPr="003B0E50">
        <w:rPr>
          <w:sz w:val="24"/>
          <w:szCs w:val="24"/>
        </w:rPr>
        <w:t>a</w:t>
      </w:r>
      <w:r w:rsidRPr="003B0E50">
        <w:rPr>
          <w:sz w:val="24"/>
          <w:szCs w:val="24"/>
        </w:rPr>
        <w:t xml:space="preserve"> de manera exitosa a las instituciones bancarias que resultaron </w:t>
      </w:r>
      <w:r w:rsidR="008B702B" w:rsidRPr="003B0E50">
        <w:rPr>
          <w:sz w:val="24"/>
          <w:szCs w:val="24"/>
        </w:rPr>
        <w:t>ganadoras</w:t>
      </w:r>
      <w:r w:rsidRPr="003B0E50">
        <w:rPr>
          <w:sz w:val="24"/>
          <w:szCs w:val="24"/>
        </w:rPr>
        <w:t>, dando como resultado del proceso competitivo lo siguiente:</w:t>
      </w:r>
    </w:p>
    <w:p w14:paraId="4226C67B" w14:textId="77777777" w:rsidR="008B51F8" w:rsidRPr="003B0E50" w:rsidRDefault="00AF23AC">
      <w:pPr>
        <w:spacing w:before="240" w:after="240"/>
        <w:ind w:left="360"/>
        <w:jc w:val="both"/>
        <w:rPr>
          <w:sz w:val="24"/>
          <w:szCs w:val="24"/>
        </w:rPr>
      </w:pPr>
      <w:r w:rsidRPr="003B0E50">
        <w:rPr>
          <w:sz w:val="24"/>
          <w:szCs w:val="24"/>
        </w:rPr>
        <w:t>·         La suma total del Financiamiento asignado asciende al total de 6,200.00 millones de pesos (</w:t>
      </w:r>
      <w:proofErr w:type="spellStart"/>
      <w:r w:rsidRPr="003B0E50">
        <w:rPr>
          <w:sz w:val="24"/>
          <w:szCs w:val="24"/>
        </w:rPr>
        <w:t>mdp</w:t>
      </w:r>
      <w:proofErr w:type="spellEnd"/>
      <w:r w:rsidRPr="003B0E50">
        <w:rPr>
          <w:sz w:val="24"/>
          <w:szCs w:val="24"/>
        </w:rPr>
        <w:t xml:space="preserve">) cuyo destino será cubrir los rubros de inversión pública productiva establecidos en el artículo segundo del Decreto de Autorización: “El Plan de Inversión Pública Productiva Integral para la Reactivación Económica del Estado de Jalisco”. La estructura financiera </w:t>
      </w:r>
      <w:r w:rsidR="0013073A" w:rsidRPr="003B0E50">
        <w:rPr>
          <w:sz w:val="24"/>
          <w:szCs w:val="24"/>
        </w:rPr>
        <w:t xml:space="preserve">(crédito) </w:t>
      </w:r>
      <w:r w:rsidRPr="003B0E50">
        <w:rPr>
          <w:sz w:val="24"/>
          <w:szCs w:val="24"/>
        </w:rPr>
        <w:t xml:space="preserve">cuenta con una calificación preliminar de AAA otorgada por Fitch Ratings.  </w:t>
      </w:r>
    </w:p>
    <w:p w14:paraId="4060735F" w14:textId="39495E72" w:rsidR="009F0679" w:rsidRPr="003B0E50" w:rsidRDefault="008B51F8">
      <w:pPr>
        <w:spacing w:before="240" w:after="240"/>
        <w:ind w:left="360"/>
        <w:jc w:val="both"/>
        <w:rPr>
          <w:sz w:val="24"/>
          <w:szCs w:val="24"/>
        </w:rPr>
      </w:pPr>
      <w:r w:rsidRPr="003B0E50">
        <w:rPr>
          <w:sz w:val="24"/>
          <w:szCs w:val="24"/>
        </w:rPr>
        <w:t xml:space="preserve">·         </w:t>
      </w:r>
      <w:r w:rsidR="00167270" w:rsidRPr="003B0E50">
        <w:rPr>
          <w:sz w:val="24"/>
          <w:szCs w:val="24"/>
        </w:rPr>
        <w:t>El Proceso Competitivo</w:t>
      </w:r>
      <w:r w:rsidR="00AF23AC" w:rsidRPr="003B0E50">
        <w:rPr>
          <w:sz w:val="24"/>
          <w:szCs w:val="24"/>
        </w:rPr>
        <w:t xml:space="preserve"> se realizó con base en el Procedimiento Flexible </w:t>
      </w:r>
      <w:r w:rsidR="00310017" w:rsidRPr="003B0E50">
        <w:rPr>
          <w:sz w:val="24"/>
          <w:szCs w:val="24"/>
        </w:rPr>
        <w:t xml:space="preserve">de </w:t>
      </w:r>
      <w:r w:rsidR="00AF23AC" w:rsidRPr="003B0E50">
        <w:rPr>
          <w:sz w:val="24"/>
          <w:szCs w:val="24"/>
        </w:rPr>
        <w:t xml:space="preserve">la Ley de Disciplina Financiera de las Entidades Federativas y los Municipios </w:t>
      </w:r>
      <w:r w:rsidR="00310017" w:rsidRPr="003B0E50">
        <w:rPr>
          <w:sz w:val="24"/>
          <w:szCs w:val="24"/>
        </w:rPr>
        <w:t>por</w:t>
      </w:r>
      <w:r w:rsidR="00AF23AC" w:rsidRPr="003B0E50">
        <w:rPr>
          <w:sz w:val="24"/>
          <w:szCs w:val="24"/>
        </w:rPr>
        <w:t xml:space="preserve"> el cual se asignaron 1,200.00 </w:t>
      </w:r>
      <w:proofErr w:type="spellStart"/>
      <w:r w:rsidR="00AF23AC" w:rsidRPr="003B0E50">
        <w:rPr>
          <w:sz w:val="24"/>
          <w:szCs w:val="24"/>
        </w:rPr>
        <w:t>mdp</w:t>
      </w:r>
      <w:proofErr w:type="spellEnd"/>
      <w:r w:rsidR="00AF23AC" w:rsidRPr="003B0E50">
        <w:rPr>
          <w:sz w:val="24"/>
          <w:szCs w:val="24"/>
        </w:rPr>
        <w:t xml:space="preserve">.  a 10 años, 2,000.00 </w:t>
      </w:r>
      <w:proofErr w:type="spellStart"/>
      <w:r w:rsidR="00AF23AC" w:rsidRPr="003B0E50">
        <w:rPr>
          <w:sz w:val="24"/>
          <w:szCs w:val="24"/>
        </w:rPr>
        <w:t>mdp</w:t>
      </w:r>
      <w:proofErr w:type="spellEnd"/>
      <w:r w:rsidR="00AF23AC" w:rsidRPr="003B0E50">
        <w:rPr>
          <w:sz w:val="24"/>
          <w:szCs w:val="24"/>
        </w:rPr>
        <w:t xml:space="preserve"> a 15 años y 3,000.00 </w:t>
      </w:r>
      <w:proofErr w:type="spellStart"/>
      <w:r w:rsidR="00AF23AC" w:rsidRPr="003B0E50">
        <w:rPr>
          <w:sz w:val="24"/>
          <w:szCs w:val="24"/>
        </w:rPr>
        <w:t>mdp</w:t>
      </w:r>
      <w:proofErr w:type="spellEnd"/>
      <w:r w:rsidR="00AF23AC" w:rsidRPr="003B0E50">
        <w:rPr>
          <w:sz w:val="24"/>
          <w:szCs w:val="24"/>
        </w:rPr>
        <w:t xml:space="preserve"> a 20 años, con un plazo promedio de 16.45 años, y una tasa efectiva promedio de 6.76%. En comparación, los 5,250.00 </w:t>
      </w:r>
      <w:proofErr w:type="spellStart"/>
      <w:r w:rsidR="00AF23AC" w:rsidRPr="003B0E50">
        <w:rPr>
          <w:sz w:val="24"/>
          <w:szCs w:val="24"/>
        </w:rPr>
        <w:t>mdp</w:t>
      </w:r>
      <w:proofErr w:type="spellEnd"/>
      <w:r w:rsidR="00AF23AC" w:rsidRPr="003B0E50">
        <w:rPr>
          <w:sz w:val="24"/>
          <w:szCs w:val="24"/>
        </w:rPr>
        <w:t xml:space="preserve"> concursados el 25 de junio de 2019, se asignaron a una tasa efectiva de 8.20% a un plazo de 20 años.</w:t>
      </w:r>
    </w:p>
    <w:p w14:paraId="381CB00B" w14:textId="0A95BFDA" w:rsidR="008B51F8" w:rsidRPr="003B0E50" w:rsidRDefault="008B51F8">
      <w:pPr>
        <w:spacing w:before="240" w:after="240"/>
        <w:ind w:left="360"/>
        <w:jc w:val="both"/>
        <w:rPr>
          <w:sz w:val="24"/>
          <w:szCs w:val="24"/>
        </w:rPr>
      </w:pPr>
      <w:r w:rsidRPr="003B0E50">
        <w:rPr>
          <w:sz w:val="24"/>
          <w:szCs w:val="24"/>
        </w:rPr>
        <w:t>·       La menor tasa efectiva</w:t>
      </w:r>
      <w:r w:rsidR="00AF23AC" w:rsidRPr="003B0E50">
        <w:rPr>
          <w:sz w:val="24"/>
          <w:szCs w:val="24"/>
        </w:rPr>
        <w:t xml:space="preserve"> con respecto al año anterior refleja una caída en las tasas de mercado</w:t>
      </w:r>
      <w:r w:rsidRPr="003B0E50">
        <w:rPr>
          <w:sz w:val="24"/>
          <w:szCs w:val="24"/>
        </w:rPr>
        <w:t xml:space="preserve"> (Ver Tabla 1)</w:t>
      </w:r>
      <w:r w:rsidR="00AF23AC" w:rsidRPr="003B0E50">
        <w:rPr>
          <w:sz w:val="24"/>
          <w:szCs w:val="24"/>
        </w:rPr>
        <w:t xml:space="preserve">. También refleja la mejora en la calificación crediticia otorgada por Fitch Ratings el pasado 3 de junio al Estado, </w:t>
      </w:r>
      <w:r w:rsidRPr="003B0E50">
        <w:rPr>
          <w:sz w:val="24"/>
          <w:szCs w:val="24"/>
        </w:rPr>
        <w:t>subie</w:t>
      </w:r>
      <w:r w:rsidR="00AF23AC" w:rsidRPr="003B0E50">
        <w:rPr>
          <w:sz w:val="24"/>
          <w:szCs w:val="24"/>
        </w:rPr>
        <w:t>ndo de AA- a AA, lo que denota el bajo riesgo de incumplimiento</w:t>
      </w:r>
      <w:r w:rsidR="00D55661" w:rsidRPr="003B0E50">
        <w:rPr>
          <w:sz w:val="24"/>
          <w:szCs w:val="24"/>
        </w:rPr>
        <w:t>.</w:t>
      </w:r>
      <w:r w:rsidRPr="003B0E50">
        <w:rPr>
          <w:sz w:val="24"/>
          <w:szCs w:val="24"/>
        </w:rPr>
        <w:t xml:space="preserve"> Este incremento sigue al otorgado también por </w:t>
      </w:r>
      <w:proofErr w:type="spellStart"/>
      <w:r w:rsidRPr="003B0E50">
        <w:rPr>
          <w:sz w:val="24"/>
          <w:szCs w:val="24"/>
        </w:rPr>
        <w:t>Fitch</w:t>
      </w:r>
      <w:proofErr w:type="spellEnd"/>
      <w:r w:rsidRPr="003B0E50">
        <w:rPr>
          <w:sz w:val="24"/>
          <w:szCs w:val="24"/>
        </w:rPr>
        <w:t xml:space="preserve"> el 4 de noviembre de 2019, de A+ a AA-. </w:t>
      </w:r>
    </w:p>
    <w:p w14:paraId="4F36DE8D" w14:textId="61008EB4" w:rsidR="009F0679" w:rsidRPr="003B0E50" w:rsidRDefault="008B51F8">
      <w:pPr>
        <w:spacing w:before="240" w:after="240"/>
        <w:ind w:left="360"/>
        <w:jc w:val="both"/>
        <w:rPr>
          <w:sz w:val="24"/>
          <w:szCs w:val="24"/>
        </w:rPr>
      </w:pPr>
      <w:r w:rsidRPr="003B0E50">
        <w:rPr>
          <w:sz w:val="24"/>
          <w:szCs w:val="24"/>
        </w:rPr>
        <w:t xml:space="preserve">·         </w:t>
      </w:r>
      <w:r w:rsidR="00D55661" w:rsidRPr="003B0E50">
        <w:rPr>
          <w:sz w:val="24"/>
          <w:szCs w:val="24"/>
        </w:rPr>
        <w:t xml:space="preserve"> </w:t>
      </w:r>
      <w:r w:rsidRPr="003B0E50">
        <w:rPr>
          <w:sz w:val="24"/>
          <w:szCs w:val="24"/>
        </w:rPr>
        <w:t xml:space="preserve">   </w:t>
      </w:r>
      <w:r w:rsidR="00D55661" w:rsidRPr="003B0E50">
        <w:rPr>
          <w:sz w:val="24"/>
          <w:szCs w:val="24"/>
        </w:rPr>
        <w:t xml:space="preserve">Finalmente, también se deriva de un menor plazo promedio para el crédito. El esquema flexible permitió aprovechar liquidez disponible en varios bancos a plazos más cortos y </w:t>
      </w:r>
      <w:r w:rsidR="00310017" w:rsidRPr="003B0E50">
        <w:rPr>
          <w:sz w:val="24"/>
          <w:szCs w:val="24"/>
        </w:rPr>
        <w:t>así</w:t>
      </w:r>
      <w:r w:rsidR="00D55661" w:rsidRPr="003B0E50">
        <w:rPr>
          <w:sz w:val="24"/>
          <w:szCs w:val="24"/>
        </w:rPr>
        <w:t xml:space="preserve"> obtener ofertas a mejores precios en toda la curva de tasas. Además, dio la oportunidad de participar a bancos que tradicionalmente no </w:t>
      </w:r>
      <w:r w:rsidR="00310017" w:rsidRPr="003B0E50">
        <w:rPr>
          <w:sz w:val="24"/>
          <w:szCs w:val="24"/>
        </w:rPr>
        <w:t>participan</w:t>
      </w:r>
      <w:r w:rsidR="00D55661" w:rsidRPr="003B0E50">
        <w:rPr>
          <w:sz w:val="24"/>
          <w:szCs w:val="24"/>
        </w:rPr>
        <w:t xml:space="preserve"> en procesos competitivos a 20 años por contar con fondeo más caro.</w:t>
      </w:r>
    </w:p>
    <w:p w14:paraId="4FA0EFD0" w14:textId="77777777" w:rsidR="00310017" w:rsidRPr="003B0E50" w:rsidRDefault="00AF23AC">
      <w:pPr>
        <w:spacing w:before="240" w:after="240"/>
        <w:ind w:left="360"/>
        <w:jc w:val="both"/>
        <w:rPr>
          <w:sz w:val="24"/>
          <w:szCs w:val="24"/>
        </w:rPr>
      </w:pPr>
      <w:r w:rsidRPr="003B0E50">
        <w:rPr>
          <w:sz w:val="24"/>
          <w:szCs w:val="24"/>
        </w:rPr>
        <w:t>·         Estos efectos compensaron el impacto negativo que ha tenido la crisis por el COVID-19, que ha exacerbado la desaceleración económica que ya se presentaba desde el año pasado. A raíz de esta crisis, se ha reducido de manera significativa la liquidez en el mercado de crédito bancario, tanto para empresas como para gobiernos, lo que se ha reflejado en mayores sobretasas de crédito.</w:t>
      </w:r>
      <w:r w:rsidR="00D55661" w:rsidRPr="003B0E50">
        <w:rPr>
          <w:sz w:val="24"/>
          <w:szCs w:val="24"/>
        </w:rPr>
        <w:t xml:space="preserve"> </w:t>
      </w:r>
    </w:p>
    <w:p w14:paraId="095E4EBA" w14:textId="77777777" w:rsidR="001D2DCB" w:rsidRPr="003B0E50" w:rsidRDefault="001D2DCB" w:rsidP="001D2DCB">
      <w:pPr>
        <w:spacing w:before="240" w:after="240"/>
        <w:ind w:left="360"/>
        <w:jc w:val="both"/>
        <w:rPr>
          <w:b/>
          <w:i/>
          <w:sz w:val="24"/>
          <w:szCs w:val="24"/>
        </w:rPr>
      </w:pPr>
      <w:r w:rsidRPr="003B0E50">
        <w:rPr>
          <w:b/>
          <w:i/>
          <w:sz w:val="24"/>
          <w:szCs w:val="24"/>
        </w:rPr>
        <w:lastRenderedPageBreak/>
        <w:t>Tabla1. Curvas de tasas TIIE a 28 días proyectadas.</w:t>
      </w:r>
    </w:p>
    <w:p w14:paraId="01FED92A" w14:textId="77777777" w:rsidR="001D2DCB" w:rsidRPr="003B0E50" w:rsidRDefault="001D2DCB" w:rsidP="001D2DCB">
      <w:pPr>
        <w:spacing w:before="240" w:after="240"/>
        <w:ind w:left="360"/>
        <w:jc w:val="both"/>
        <w:rPr>
          <w:b/>
          <w:i/>
          <w:sz w:val="24"/>
          <w:szCs w:val="24"/>
        </w:rPr>
      </w:pPr>
      <w:r w:rsidRPr="003B0E50">
        <w:rPr>
          <w:noProof/>
          <w:sz w:val="20"/>
          <w:szCs w:val="20"/>
          <w:lang w:val="es-MX"/>
        </w:rPr>
        <w:drawing>
          <wp:inline distT="114300" distB="114300" distL="114300" distR="114300" wp14:anchorId="62ABB27A" wp14:editId="6FEAD4D9">
            <wp:extent cx="5628413" cy="2733675"/>
            <wp:effectExtent l="0" t="0" r="0" b="0"/>
            <wp:docPr id="1" name="image1.png" descr="Gráfico"/>
            <wp:cNvGraphicFramePr/>
            <a:graphic xmlns:a="http://schemas.openxmlformats.org/drawingml/2006/main">
              <a:graphicData uri="http://schemas.openxmlformats.org/drawingml/2006/picture">
                <pic:pic xmlns:pic="http://schemas.openxmlformats.org/drawingml/2006/picture">
                  <pic:nvPicPr>
                    <pic:cNvPr id="0" name="image1.png" descr="Gráfico"/>
                    <pic:cNvPicPr preferRelativeResize="0"/>
                  </pic:nvPicPr>
                  <pic:blipFill>
                    <a:blip r:embed="rId4"/>
                    <a:srcRect/>
                    <a:stretch>
                      <a:fillRect/>
                    </a:stretch>
                  </pic:blipFill>
                  <pic:spPr>
                    <a:xfrm>
                      <a:off x="0" y="0"/>
                      <a:ext cx="5628413" cy="2733675"/>
                    </a:xfrm>
                    <a:prstGeom prst="rect">
                      <a:avLst/>
                    </a:prstGeom>
                    <a:ln/>
                  </pic:spPr>
                </pic:pic>
              </a:graphicData>
            </a:graphic>
          </wp:inline>
        </w:drawing>
      </w:r>
    </w:p>
    <w:p w14:paraId="7A4A2444" w14:textId="25681989" w:rsidR="001D2DCB" w:rsidRPr="003B0E50" w:rsidRDefault="001D2DCB" w:rsidP="001D2DCB">
      <w:pPr>
        <w:spacing w:before="240" w:after="240"/>
        <w:ind w:left="360"/>
        <w:jc w:val="both"/>
        <w:rPr>
          <w:i/>
          <w:sz w:val="20"/>
          <w:szCs w:val="20"/>
        </w:rPr>
      </w:pPr>
      <w:r w:rsidRPr="003B0E50">
        <w:rPr>
          <w:i/>
          <w:sz w:val="20"/>
          <w:szCs w:val="20"/>
        </w:rPr>
        <w:t>Fuente: Proveedora Integral de Precios, S.A. de C.V. (PIP).</w:t>
      </w:r>
    </w:p>
    <w:p w14:paraId="55E068CA" w14:textId="42FDBAF6" w:rsidR="009F0679" w:rsidRPr="003B0E50" w:rsidRDefault="00AF23AC">
      <w:pPr>
        <w:spacing w:before="240" w:after="240"/>
        <w:ind w:left="360"/>
        <w:jc w:val="both"/>
        <w:rPr>
          <w:sz w:val="24"/>
          <w:szCs w:val="24"/>
        </w:rPr>
      </w:pPr>
      <w:r w:rsidRPr="003B0E50">
        <w:rPr>
          <w:sz w:val="24"/>
          <w:szCs w:val="24"/>
        </w:rPr>
        <w:t xml:space="preserve">·         El proceso </w:t>
      </w:r>
      <w:r w:rsidR="00756F97" w:rsidRPr="003B0E50">
        <w:rPr>
          <w:sz w:val="24"/>
          <w:szCs w:val="24"/>
        </w:rPr>
        <w:t xml:space="preserve">en Jalisco </w:t>
      </w:r>
      <w:r w:rsidRPr="003B0E50">
        <w:rPr>
          <w:sz w:val="24"/>
          <w:szCs w:val="24"/>
        </w:rPr>
        <w:t xml:space="preserve">lo ganaron tres bancos: BBVA con 3,000 </w:t>
      </w:r>
      <w:proofErr w:type="spellStart"/>
      <w:r w:rsidRPr="003B0E50">
        <w:rPr>
          <w:sz w:val="24"/>
          <w:szCs w:val="24"/>
        </w:rPr>
        <w:t>mdp</w:t>
      </w:r>
      <w:proofErr w:type="spellEnd"/>
      <w:r w:rsidRPr="003B0E50">
        <w:rPr>
          <w:sz w:val="24"/>
          <w:szCs w:val="24"/>
        </w:rPr>
        <w:t xml:space="preserve">, </w:t>
      </w:r>
      <w:proofErr w:type="spellStart"/>
      <w:r w:rsidRPr="003B0E50">
        <w:rPr>
          <w:sz w:val="24"/>
          <w:szCs w:val="24"/>
        </w:rPr>
        <w:t>Citibanamex</w:t>
      </w:r>
      <w:proofErr w:type="spellEnd"/>
      <w:r w:rsidRPr="003B0E50">
        <w:rPr>
          <w:sz w:val="24"/>
          <w:szCs w:val="24"/>
        </w:rPr>
        <w:t xml:space="preserve"> con 1,700 </w:t>
      </w:r>
      <w:proofErr w:type="spellStart"/>
      <w:r w:rsidRPr="003B0E50">
        <w:rPr>
          <w:sz w:val="24"/>
          <w:szCs w:val="24"/>
        </w:rPr>
        <w:t>mdp</w:t>
      </w:r>
      <w:proofErr w:type="spellEnd"/>
      <w:r w:rsidRPr="003B0E50">
        <w:rPr>
          <w:sz w:val="24"/>
          <w:szCs w:val="24"/>
        </w:rPr>
        <w:t xml:space="preserve"> y Banco del Bajío, con 1,500 </w:t>
      </w:r>
      <w:proofErr w:type="spellStart"/>
      <w:r w:rsidRPr="003B0E50">
        <w:rPr>
          <w:sz w:val="24"/>
          <w:szCs w:val="24"/>
        </w:rPr>
        <w:t>mdp</w:t>
      </w:r>
      <w:proofErr w:type="spellEnd"/>
      <w:r w:rsidRPr="003B0E50">
        <w:rPr>
          <w:sz w:val="24"/>
          <w:szCs w:val="24"/>
        </w:rPr>
        <w:t xml:space="preserve"> a diferentes plazos:</w:t>
      </w:r>
    </w:p>
    <w:p w14:paraId="1D20E19B" w14:textId="3DF12823" w:rsidR="009F0679" w:rsidRPr="003B0E50" w:rsidRDefault="00AF23AC">
      <w:pPr>
        <w:spacing w:before="240"/>
        <w:jc w:val="both"/>
        <w:rPr>
          <w:b/>
          <w:sz w:val="24"/>
          <w:szCs w:val="24"/>
        </w:rPr>
      </w:pPr>
      <w:r w:rsidRPr="003B0E50">
        <w:rPr>
          <w:sz w:val="24"/>
          <w:szCs w:val="24"/>
        </w:rPr>
        <w:t xml:space="preserve"> </w:t>
      </w:r>
      <w:r w:rsidR="00A80693" w:rsidRPr="003B0E50">
        <w:rPr>
          <w:b/>
          <w:sz w:val="24"/>
          <w:szCs w:val="24"/>
        </w:rPr>
        <w:t xml:space="preserve">Tabla 2. Montos adjudicados. </w:t>
      </w:r>
    </w:p>
    <w:tbl>
      <w:tblPr>
        <w:tblStyle w:val="a"/>
        <w:tblW w:w="98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0"/>
        <w:gridCol w:w="1590"/>
        <w:gridCol w:w="1680"/>
        <w:gridCol w:w="2007"/>
        <w:gridCol w:w="2763"/>
      </w:tblGrid>
      <w:tr w:rsidR="009F0679" w:rsidRPr="003B0E50" w14:paraId="514527D4" w14:textId="77777777">
        <w:trPr>
          <w:trHeight w:val="345"/>
        </w:trPr>
        <w:tc>
          <w:tcPr>
            <w:tcW w:w="9840" w:type="dxa"/>
            <w:gridSpan w:val="5"/>
            <w:tcBorders>
              <w:top w:val="single" w:sz="9" w:space="0" w:color="000000"/>
              <w:left w:val="single" w:sz="9" w:space="0" w:color="000000"/>
              <w:bottom w:val="single" w:sz="9" w:space="0" w:color="000000"/>
              <w:right w:val="single" w:sz="9" w:space="0" w:color="000000"/>
            </w:tcBorders>
            <w:tcMar>
              <w:top w:w="40" w:type="dxa"/>
              <w:left w:w="40" w:type="dxa"/>
              <w:bottom w:w="40" w:type="dxa"/>
              <w:right w:w="40" w:type="dxa"/>
            </w:tcMar>
          </w:tcPr>
          <w:p w14:paraId="117BB115" w14:textId="0DBBF652" w:rsidR="009F0679" w:rsidRPr="003B0E50" w:rsidRDefault="009F0679" w:rsidP="00A80693">
            <w:pPr>
              <w:spacing w:before="240"/>
              <w:rPr>
                <w:rFonts w:asciiTheme="majorHAnsi" w:hAnsiTheme="majorHAnsi" w:cstheme="majorHAnsi"/>
                <w:b/>
              </w:rPr>
            </w:pPr>
          </w:p>
        </w:tc>
      </w:tr>
      <w:tr w:rsidR="009F0679" w:rsidRPr="003B0E50" w14:paraId="296DF470" w14:textId="77777777" w:rsidTr="00310017">
        <w:trPr>
          <w:trHeight w:val="585"/>
        </w:trPr>
        <w:tc>
          <w:tcPr>
            <w:tcW w:w="1800" w:type="dxa"/>
            <w:tcBorders>
              <w:top w:val="nil"/>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14:paraId="6515C881" w14:textId="77777777" w:rsidR="009F0679" w:rsidRPr="003B0E50" w:rsidRDefault="00AF23AC" w:rsidP="00A94169">
            <w:pPr>
              <w:spacing w:before="240"/>
              <w:jc w:val="center"/>
              <w:rPr>
                <w:rFonts w:asciiTheme="majorHAnsi" w:hAnsiTheme="majorHAnsi" w:cstheme="majorHAnsi"/>
                <w:b/>
              </w:rPr>
            </w:pPr>
            <w:r w:rsidRPr="003B0E50">
              <w:rPr>
                <w:rFonts w:asciiTheme="majorHAnsi" w:hAnsiTheme="majorHAnsi" w:cstheme="majorHAnsi"/>
                <w:b/>
              </w:rPr>
              <w:t>Licitante Ganadora</w:t>
            </w:r>
          </w:p>
        </w:tc>
        <w:tc>
          <w:tcPr>
            <w:tcW w:w="1590"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tcPr>
          <w:p w14:paraId="0FB9EA90" w14:textId="77777777" w:rsidR="009F0679" w:rsidRPr="003B0E50" w:rsidRDefault="00AF23AC" w:rsidP="00A94169">
            <w:pPr>
              <w:spacing w:before="240"/>
              <w:jc w:val="center"/>
              <w:rPr>
                <w:rFonts w:asciiTheme="majorHAnsi" w:hAnsiTheme="majorHAnsi" w:cstheme="majorHAnsi"/>
                <w:b/>
              </w:rPr>
            </w:pPr>
            <w:r w:rsidRPr="003B0E50">
              <w:rPr>
                <w:rFonts w:asciiTheme="majorHAnsi" w:hAnsiTheme="majorHAnsi" w:cstheme="majorHAnsi"/>
                <w:b/>
              </w:rPr>
              <w:t>Tasa Efectiva</w:t>
            </w:r>
          </w:p>
        </w:tc>
        <w:tc>
          <w:tcPr>
            <w:tcW w:w="1680"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tcPr>
          <w:p w14:paraId="6A6846CA" w14:textId="77777777" w:rsidR="009F0679" w:rsidRPr="003B0E50" w:rsidRDefault="00AF23AC" w:rsidP="00A94169">
            <w:pPr>
              <w:spacing w:before="240"/>
              <w:jc w:val="center"/>
              <w:rPr>
                <w:rFonts w:asciiTheme="majorHAnsi" w:hAnsiTheme="majorHAnsi" w:cstheme="majorHAnsi"/>
                <w:b/>
              </w:rPr>
            </w:pPr>
            <w:r w:rsidRPr="003B0E50">
              <w:rPr>
                <w:rFonts w:asciiTheme="majorHAnsi" w:hAnsiTheme="majorHAnsi" w:cstheme="majorHAnsi"/>
                <w:b/>
              </w:rPr>
              <w:t>Plazo</w:t>
            </w:r>
          </w:p>
        </w:tc>
        <w:tc>
          <w:tcPr>
            <w:tcW w:w="2007"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tcPr>
          <w:p w14:paraId="3D70A13A" w14:textId="77777777" w:rsidR="009F0679" w:rsidRPr="003B0E50" w:rsidRDefault="00AF23AC" w:rsidP="00A94169">
            <w:pPr>
              <w:spacing w:before="240"/>
              <w:jc w:val="center"/>
              <w:rPr>
                <w:rFonts w:asciiTheme="majorHAnsi" w:hAnsiTheme="majorHAnsi" w:cstheme="majorHAnsi"/>
                <w:b/>
              </w:rPr>
            </w:pPr>
            <w:r w:rsidRPr="003B0E50">
              <w:rPr>
                <w:rFonts w:asciiTheme="majorHAnsi" w:hAnsiTheme="majorHAnsi" w:cstheme="majorHAnsi"/>
                <w:b/>
              </w:rPr>
              <w:t>Monto de la propuesta</w:t>
            </w:r>
          </w:p>
        </w:tc>
        <w:tc>
          <w:tcPr>
            <w:tcW w:w="2763"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tcPr>
          <w:p w14:paraId="24E612DA" w14:textId="77777777" w:rsidR="009F0679" w:rsidRPr="003B0E50" w:rsidRDefault="00AF23AC" w:rsidP="00A94169">
            <w:pPr>
              <w:spacing w:before="240"/>
              <w:jc w:val="center"/>
              <w:rPr>
                <w:rFonts w:asciiTheme="majorHAnsi" w:hAnsiTheme="majorHAnsi" w:cstheme="majorHAnsi"/>
                <w:b/>
              </w:rPr>
            </w:pPr>
            <w:r w:rsidRPr="003B0E50">
              <w:rPr>
                <w:rFonts w:asciiTheme="majorHAnsi" w:hAnsiTheme="majorHAnsi" w:cstheme="majorHAnsi"/>
                <w:b/>
              </w:rPr>
              <w:t>Monto hasta por:</w:t>
            </w:r>
          </w:p>
        </w:tc>
      </w:tr>
      <w:tr w:rsidR="009F0679" w:rsidRPr="003B0E50" w14:paraId="7848F9B2" w14:textId="77777777" w:rsidTr="00310017">
        <w:trPr>
          <w:trHeight w:val="345"/>
        </w:trPr>
        <w:tc>
          <w:tcPr>
            <w:tcW w:w="1800" w:type="dxa"/>
            <w:tcBorders>
              <w:top w:val="nil"/>
              <w:left w:val="single" w:sz="9" w:space="0" w:color="000000"/>
              <w:bottom w:val="single" w:sz="9" w:space="0" w:color="000000"/>
              <w:right w:val="single" w:sz="9" w:space="0" w:color="000000"/>
            </w:tcBorders>
            <w:shd w:val="clear" w:color="auto" w:fill="FFFFFF"/>
            <w:tcMar>
              <w:top w:w="40" w:type="dxa"/>
              <w:left w:w="40" w:type="dxa"/>
              <w:bottom w:w="40" w:type="dxa"/>
              <w:right w:w="40" w:type="dxa"/>
            </w:tcMar>
            <w:vAlign w:val="bottom"/>
          </w:tcPr>
          <w:p w14:paraId="7A472BD9" w14:textId="77777777" w:rsidR="009F0679" w:rsidRPr="003B0E50" w:rsidRDefault="00AF23AC" w:rsidP="00A94169">
            <w:pPr>
              <w:spacing w:before="240"/>
              <w:jc w:val="center"/>
              <w:rPr>
                <w:rFonts w:asciiTheme="majorHAnsi" w:hAnsiTheme="majorHAnsi" w:cstheme="majorHAnsi"/>
                <w:color w:val="2F2F2F"/>
              </w:rPr>
            </w:pPr>
            <w:r w:rsidRPr="003B0E50">
              <w:rPr>
                <w:rFonts w:asciiTheme="majorHAnsi" w:hAnsiTheme="majorHAnsi" w:cstheme="majorHAnsi"/>
                <w:color w:val="2F2F2F"/>
              </w:rPr>
              <w:t>BanBajío</w:t>
            </w:r>
          </w:p>
        </w:tc>
        <w:tc>
          <w:tcPr>
            <w:tcW w:w="1590"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176A28C2"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6.20%</w:t>
            </w:r>
          </w:p>
        </w:tc>
        <w:tc>
          <w:tcPr>
            <w:tcW w:w="1680" w:type="dxa"/>
            <w:tcBorders>
              <w:top w:val="nil"/>
              <w:left w:val="nil"/>
              <w:bottom w:val="single" w:sz="9" w:space="0" w:color="000000"/>
              <w:right w:val="single" w:sz="9" w:space="0" w:color="000000"/>
            </w:tcBorders>
            <w:shd w:val="clear" w:color="auto" w:fill="FFFFFF"/>
            <w:tcMar>
              <w:top w:w="40" w:type="dxa"/>
              <w:left w:w="40" w:type="dxa"/>
              <w:bottom w:w="40" w:type="dxa"/>
              <w:right w:w="40" w:type="dxa"/>
            </w:tcMar>
            <w:vAlign w:val="bottom"/>
          </w:tcPr>
          <w:p w14:paraId="5EAA56F1" w14:textId="77777777" w:rsidR="009F0679" w:rsidRPr="003B0E50" w:rsidRDefault="00AF23AC" w:rsidP="00A94169">
            <w:pPr>
              <w:spacing w:before="240"/>
              <w:jc w:val="center"/>
              <w:rPr>
                <w:rFonts w:asciiTheme="majorHAnsi" w:hAnsiTheme="majorHAnsi" w:cstheme="majorHAnsi"/>
                <w:color w:val="2F2F2F"/>
              </w:rPr>
            </w:pPr>
            <w:r w:rsidRPr="003B0E50">
              <w:rPr>
                <w:rFonts w:asciiTheme="majorHAnsi" w:hAnsiTheme="majorHAnsi" w:cstheme="majorHAnsi"/>
                <w:color w:val="2F2F2F"/>
              </w:rPr>
              <w:t>119 meses</w:t>
            </w:r>
          </w:p>
        </w:tc>
        <w:tc>
          <w:tcPr>
            <w:tcW w:w="2007"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47D64BCB"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1,200,000,000.00</w:t>
            </w:r>
          </w:p>
        </w:tc>
        <w:tc>
          <w:tcPr>
            <w:tcW w:w="2763"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03268856"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1,200,000,000.00</w:t>
            </w:r>
          </w:p>
        </w:tc>
      </w:tr>
      <w:tr w:rsidR="009F0679" w:rsidRPr="003B0E50" w14:paraId="6BF84404" w14:textId="77777777" w:rsidTr="00310017">
        <w:trPr>
          <w:trHeight w:val="345"/>
        </w:trPr>
        <w:tc>
          <w:tcPr>
            <w:tcW w:w="1800" w:type="dxa"/>
            <w:tcBorders>
              <w:top w:val="nil"/>
              <w:left w:val="single" w:sz="9" w:space="0" w:color="000000"/>
              <w:bottom w:val="single" w:sz="9" w:space="0" w:color="000000"/>
              <w:right w:val="single" w:sz="9" w:space="0" w:color="000000"/>
            </w:tcBorders>
            <w:shd w:val="clear" w:color="auto" w:fill="FFFFFF"/>
            <w:tcMar>
              <w:top w:w="40" w:type="dxa"/>
              <w:left w:w="40" w:type="dxa"/>
              <w:bottom w:w="40" w:type="dxa"/>
              <w:right w:w="40" w:type="dxa"/>
            </w:tcMar>
            <w:vAlign w:val="bottom"/>
          </w:tcPr>
          <w:p w14:paraId="22A0132F" w14:textId="77777777" w:rsidR="009F0679" w:rsidRPr="003B0E50" w:rsidRDefault="00AF23AC" w:rsidP="00A94169">
            <w:pPr>
              <w:spacing w:before="240"/>
              <w:jc w:val="center"/>
              <w:rPr>
                <w:rFonts w:asciiTheme="majorHAnsi" w:hAnsiTheme="majorHAnsi" w:cstheme="majorHAnsi"/>
                <w:color w:val="2F2F2F"/>
              </w:rPr>
            </w:pPr>
            <w:r w:rsidRPr="003B0E50">
              <w:rPr>
                <w:rFonts w:asciiTheme="majorHAnsi" w:hAnsiTheme="majorHAnsi" w:cstheme="majorHAnsi"/>
                <w:color w:val="2F2F2F"/>
              </w:rPr>
              <w:t>BBVA</w:t>
            </w:r>
          </w:p>
        </w:tc>
        <w:tc>
          <w:tcPr>
            <w:tcW w:w="1590"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720CC3AB"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6.62%</w:t>
            </w:r>
          </w:p>
        </w:tc>
        <w:tc>
          <w:tcPr>
            <w:tcW w:w="1680" w:type="dxa"/>
            <w:tcBorders>
              <w:top w:val="nil"/>
              <w:left w:val="nil"/>
              <w:bottom w:val="single" w:sz="9" w:space="0" w:color="000000"/>
              <w:right w:val="single" w:sz="9" w:space="0" w:color="000000"/>
            </w:tcBorders>
            <w:shd w:val="clear" w:color="auto" w:fill="FFFFFF"/>
            <w:tcMar>
              <w:top w:w="40" w:type="dxa"/>
              <w:left w:w="40" w:type="dxa"/>
              <w:bottom w:w="40" w:type="dxa"/>
              <w:right w:w="40" w:type="dxa"/>
            </w:tcMar>
            <w:vAlign w:val="bottom"/>
          </w:tcPr>
          <w:p w14:paraId="6EBB6FE7" w14:textId="77777777" w:rsidR="009F0679" w:rsidRPr="003B0E50" w:rsidRDefault="00AF23AC" w:rsidP="00A94169">
            <w:pPr>
              <w:spacing w:before="240"/>
              <w:jc w:val="center"/>
              <w:rPr>
                <w:rFonts w:asciiTheme="majorHAnsi" w:hAnsiTheme="majorHAnsi" w:cstheme="majorHAnsi"/>
                <w:color w:val="2F2F2F"/>
              </w:rPr>
            </w:pPr>
            <w:r w:rsidRPr="003B0E50">
              <w:rPr>
                <w:rFonts w:asciiTheme="majorHAnsi" w:hAnsiTheme="majorHAnsi" w:cstheme="majorHAnsi"/>
                <w:color w:val="2F2F2F"/>
              </w:rPr>
              <w:t>180 meses</w:t>
            </w:r>
          </w:p>
        </w:tc>
        <w:tc>
          <w:tcPr>
            <w:tcW w:w="2007"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27C0E9A1"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1,000,000,000.00</w:t>
            </w:r>
          </w:p>
        </w:tc>
        <w:tc>
          <w:tcPr>
            <w:tcW w:w="2763"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2ECF90F1"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1,000,000,000.00</w:t>
            </w:r>
          </w:p>
        </w:tc>
      </w:tr>
      <w:tr w:rsidR="009F0679" w:rsidRPr="003B0E50" w14:paraId="1C025195" w14:textId="77777777" w:rsidTr="00310017">
        <w:trPr>
          <w:trHeight w:val="345"/>
        </w:trPr>
        <w:tc>
          <w:tcPr>
            <w:tcW w:w="1800" w:type="dxa"/>
            <w:tcBorders>
              <w:top w:val="nil"/>
              <w:left w:val="single" w:sz="9" w:space="0" w:color="000000"/>
              <w:bottom w:val="single" w:sz="9" w:space="0" w:color="000000"/>
              <w:right w:val="single" w:sz="9" w:space="0" w:color="000000"/>
            </w:tcBorders>
            <w:shd w:val="clear" w:color="auto" w:fill="FFFFFF"/>
            <w:tcMar>
              <w:top w:w="40" w:type="dxa"/>
              <w:left w:w="40" w:type="dxa"/>
              <w:bottom w:w="40" w:type="dxa"/>
              <w:right w:w="40" w:type="dxa"/>
            </w:tcMar>
            <w:vAlign w:val="bottom"/>
          </w:tcPr>
          <w:p w14:paraId="2E563ED2" w14:textId="77777777" w:rsidR="009F0679" w:rsidRPr="003B0E50" w:rsidRDefault="00AF23AC" w:rsidP="00A94169">
            <w:pPr>
              <w:spacing w:before="240"/>
              <w:jc w:val="center"/>
              <w:rPr>
                <w:rFonts w:asciiTheme="majorHAnsi" w:hAnsiTheme="majorHAnsi" w:cstheme="majorHAnsi"/>
                <w:color w:val="2F2F2F"/>
              </w:rPr>
            </w:pPr>
            <w:r w:rsidRPr="003B0E50">
              <w:rPr>
                <w:rFonts w:asciiTheme="majorHAnsi" w:hAnsiTheme="majorHAnsi" w:cstheme="majorHAnsi"/>
                <w:color w:val="2F2F2F"/>
              </w:rPr>
              <w:t>BanBajío</w:t>
            </w:r>
          </w:p>
        </w:tc>
        <w:tc>
          <w:tcPr>
            <w:tcW w:w="1590"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3DB4D163"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6.68%</w:t>
            </w:r>
          </w:p>
        </w:tc>
        <w:tc>
          <w:tcPr>
            <w:tcW w:w="1680" w:type="dxa"/>
            <w:tcBorders>
              <w:top w:val="nil"/>
              <w:left w:val="nil"/>
              <w:bottom w:val="single" w:sz="9" w:space="0" w:color="000000"/>
              <w:right w:val="single" w:sz="9" w:space="0" w:color="000000"/>
            </w:tcBorders>
            <w:shd w:val="clear" w:color="auto" w:fill="FFFFFF"/>
            <w:tcMar>
              <w:top w:w="40" w:type="dxa"/>
              <w:left w:w="40" w:type="dxa"/>
              <w:bottom w:w="40" w:type="dxa"/>
              <w:right w:w="40" w:type="dxa"/>
            </w:tcMar>
            <w:vAlign w:val="bottom"/>
          </w:tcPr>
          <w:p w14:paraId="5CD1874C" w14:textId="77777777" w:rsidR="009F0679" w:rsidRPr="003B0E50" w:rsidRDefault="00AF23AC" w:rsidP="00A94169">
            <w:pPr>
              <w:spacing w:before="240"/>
              <w:jc w:val="center"/>
              <w:rPr>
                <w:rFonts w:asciiTheme="majorHAnsi" w:hAnsiTheme="majorHAnsi" w:cstheme="majorHAnsi"/>
                <w:color w:val="2F2F2F"/>
              </w:rPr>
            </w:pPr>
            <w:r w:rsidRPr="003B0E50">
              <w:rPr>
                <w:rFonts w:asciiTheme="majorHAnsi" w:hAnsiTheme="majorHAnsi" w:cstheme="majorHAnsi"/>
                <w:color w:val="2F2F2F"/>
              </w:rPr>
              <w:t>180 meses</w:t>
            </w:r>
          </w:p>
        </w:tc>
        <w:tc>
          <w:tcPr>
            <w:tcW w:w="2007"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6D40619F"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1,500,000,000.00</w:t>
            </w:r>
          </w:p>
        </w:tc>
        <w:tc>
          <w:tcPr>
            <w:tcW w:w="2763"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59EE09FF"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300,000,000.00</w:t>
            </w:r>
          </w:p>
        </w:tc>
      </w:tr>
      <w:tr w:rsidR="009F0679" w:rsidRPr="003B0E50" w14:paraId="6DAB7946" w14:textId="77777777" w:rsidTr="00310017">
        <w:trPr>
          <w:trHeight w:val="345"/>
        </w:trPr>
        <w:tc>
          <w:tcPr>
            <w:tcW w:w="1800" w:type="dxa"/>
            <w:tcBorders>
              <w:top w:val="nil"/>
              <w:left w:val="single" w:sz="9" w:space="0" w:color="000000"/>
              <w:bottom w:val="single" w:sz="9" w:space="0" w:color="000000"/>
              <w:right w:val="single" w:sz="9" w:space="0" w:color="000000"/>
            </w:tcBorders>
            <w:shd w:val="clear" w:color="auto" w:fill="FFFFFF"/>
            <w:tcMar>
              <w:top w:w="40" w:type="dxa"/>
              <w:left w:w="40" w:type="dxa"/>
              <w:bottom w:w="40" w:type="dxa"/>
              <w:right w:w="40" w:type="dxa"/>
            </w:tcMar>
            <w:vAlign w:val="bottom"/>
          </w:tcPr>
          <w:p w14:paraId="200081B8" w14:textId="77777777" w:rsidR="009F0679" w:rsidRPr="003B0E50" w:rsidRDefault="00AF23AC" w:rsidP="00A94169">
            <w:pPr>
              <w:spacing w:before="240"/>
              <w:jc w:val="center"/>
              <w:rPr>
                <w:rFonts w:asciiTheme="majorHAnsi" w:hAnsiTheme="majorHAnsi" w:cstheme="majorHAnsi"/>
                <w:color w:val="2F2F2F"/>
              </w:rPr>
            </w:pPr>
            <w:r w:rsidRPr="003B0E50">
              <w:rPr>
                <w:rFonts w:asciiTheme="majorHAnsi" w:hAnsiTheme="majorHAnsi" w:cstheme="majorHAnsi"/>
                <w:color w:val="2F2F2F"/>
              </w:rPr>
              <w:t>Citibanamex</w:t>
            </w:r>
          </w:p>
        </w:tc>
        <w:tc>
          <w:tcPr>
            <w:tcW w:w="1590"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4E7D3959"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6.83%</w:t>
            </w:r>
          </w:p>
        </w:tc>
        <w:tc>
          <w:tcPr>
            <w:tcW w:w="1680" w:type="dxa"/>
            <w:tcBorders>
              <w:top w:val="nil"/>
              <w:left w:val="nil"/>
              <w:bottom w:val="single" w:sz="9" w:space="0" w:color="000000"/>
              <w:right w:val="single" w:sz="9" w:space="0" w:color="000000"/>
            </w:tcBorders>
            <w:shd w:val="clear" w:color="auto" w:fill="FFFFFF"/>
            <w:tcMar>
              <w:top w:w="40" w:type="dxa"/>
              <w:left w:w="40" w:type="dxa"/>
              <w:bottom w:w="40" w:type="dxa"/>
              <w:right w:w="40" w:type="dxa"/>
            </w:tcMar>
            <w:vAlign w:val="bottom"/>
          </w:tcPr>
          <w:p w14:paraId="350DEC71" w14:textId="77777777" w:rsidR="009F0679" w:rsidRPr="003B0E50" w:rsidRDefault="00AF23AC" w:rsidP="00A94169">
            <w:pPr>
              <w:spacing w:before="240"/>
              <w:jc w:val="center"/>
              <w:rPr>
                <w:rFonts w:asciiTheme="majorHAnsi" w:hAnsiTheme="majorHAnsi" w:cstheme="majorHAnsi"/>
                <w:color w:val="2F2F2F"/>
              </w:rPr>
            </w:pPr>
            <w:r w:rsidRPr="003B0E50">
              <w:rPr>
                <w:rFonts w:asciiTheme="majorHAnsi" w:hAnsiTheme="majorHAnsi" w:cstheme="majorHAnsi"/>
                <w:color w:val="2F2F2F"/>
              </w:rPr>
              <w:t>180 meses</w:t>
            </w:r>
          </w:p>
        </w:tc>
        <w:tc>
          <w:tcPr>
            <w:tcW w:w="2007"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72346E1C"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2,000,000,000.00</w:t>
            </w:r>
          </w:p>
        </w:tc>
        <w:tc>
          <w:tcPr>
            <w:tcW w:w="2763"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607117D0"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700,000,000.00</w:t>
            </w:r>
          </w:p>
        </w:tc>
      </w:tr>
      <w:tr w:rsidR="009F0679" w:rsidRPr="003B0E50" w14:paraId="7593E444" w14:textId="77777777" w:rsidTr="00310017">
        <w:trPr>
          <w:trHeight w:val="345"/>
        </w:trPr>
        <w:tc>
          <w:tcPr>
            <w:tcW w:w="1800" w:type="dxa"/>
            <w:tcBorders>
              <w:top w:val="nil"/>
              <w:left w:val="single" w:sz="9" w:space="0" w:color="000000"/>
              <w:bottom w:val="single" w:sz="9" w:space="0" w:color="000000"/>
              <w:right w:val="single" w:sz="9" w:space="0" w:color="000000"/>
            </w:tcBorders>
            <w:shd w:val="clear" w:color="auto" w:fill="FFFFFF"/>
            <w:tcMar>
              <w:top w:w="40" w:type="dxa"/>
              <w:left w:w="40" w:type="dxa"/>
              <w:bottom w:w="40" w:type="dxa"/>
              <w:right w:w="40" w:type="dxa"/>
            </w:tcMar>
            <w:vAlign w:val="bottom"/>
          </w:tcPr>
          <w:p w14:paraId="66587627" w14:textId="77777777" w:rsidR="009F0679" w:rsidRPr="003B0E50" w:rsidRDefault="00AF23AC" w:rsidP="00A94169">
            <w:pPr>
              <w:spacing w:before="240"/>
              <w:jc w:val="center"/>
              <w:rPr>
                <w:rFonts w:asciiTheme="majorHAnsi" w:hAnsiTheme="majorHAnsi" w:cstheme="majorHAnsi"/>
                <w:color w:val="2F2F2F"/>
              </w:rPr>
            </w:pPr>
            <w:r w:rsidRPr="003B0E50">
              <w:rPr>
                <w:rFonts w:asciiTheme="majorHAnsi" w:hAnsiTheme="majorHAnsi" w:cstheme="majorHAnsi"/>
                <w:color w:val="2F2F2F"/>
              </w:rPr>
              <w:t>BBVA</w:t>
            </w:r>
          </w:p>
        </w:tc>
        <w:tc>
          <w:tcPr>
            <w:tcW w:w="1590"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6AB99C98"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6.94%</w:t>
            </w:r>
          </w:p>
        </w:tc>
        <w:tc>
          <w:tcPr>
            <w:tcW w:w="1680" w:type="dxa"/>
            <w:tcBorders>
              <w:top w:val="nil"/>
              <w:left w:val="nil"/>
              <w:bottom w:val="single" w:sz="9" w:space="0" w:color="000000"/>
              <w:right w:val="single" w:sz="9" w:space="0" w:color="000000"/>
            </w:tcBorders>
            <w:shd w:val="clear" w:color="auto" w:fill="FFFFFF"/>
            <w:tcMar>
              <w:top w:w="40" w:type="dxa"/>
              <w:left w:w="40" w:type="dxa"/>
              <w:bottom w:w="40" w:type="dxa"/>
              <w:right w:w="40" w:type="dxa"/>
            </w:tcMar>
            <w:vAlign w:val="bottom"/>
          </w:tcPr>
          <w:p w14:paraId="6DB958AB" w14:textId="77777777" w:rsidR="009F0679" w:rsidRPr="003B0E50" w:rsidRDefault="00AF23AC" w:rsidP="00A94169">
            <w:pPr>
              <w:spacing w:before="240"/>
              <w:jc w:val="center"/>
              <w:rPr>
                <w:rFonts w:asciiTheme="majorHAnsi" w:hAnsiTheme="majorHAnsi" w:cstheme="majorHAnsi"/>
                <w:color w:val="2F2F2F"/>
              </w:rPr>
            </w:pPr>
            <w:r w:rsidRPr="003B0E50">
              <w:rPr>
                <w:rFonts w:asciiTheme="majorHAnsi" w:hAnsiTheme="majorHAnsi" w:cstheme="majorHAnsi"/>
                <w:color w:val="2F2F2F"/>
              </w:rPr>
              <w:t>240 meses</w:t>
            </w:r>
          </w:p>
        </w:tc>
        <w:tc>
          <w:tcPr>
            <w:tcW w:w="2007"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7A8B9613"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1,000,000,000.00</w:t>
            </w:r>
          </w:p>
        </w:tc>
        <w:tc>
          <w:tcPr>
            <w:tcW w:w="2763"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58093DC7"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1,000,000,000.00</w:t>
            </w:r>
          </w:p>
        </w:tc>
      </w:tr>
      <w:tr w:rsidR="009F0679" w:rsidRPr="003B0E50" w14:paraId="1207CB6C" w14:textId="77777777" w:rsidTr="00310017">
        <w:trPr>
          <w:trHeight w:val="345"/>
        </w:trPr>
        <w:tc>
          <w:tcPr>
            <w:tcW w:w="1800" w:type="dxa"/>
            <w:tcBorders>
              <w:top w:val="nil"/>
              <w:left w:val="single" w:sz="9" w:space="0" w:color="000000"/>
              <w:bottom w:val="single" w:sz="9" w:space="0" w:color="000000"/>
              <w:right w:val="single" w:sz="9" w:space="0" w:color="000000"/>
            </w:tcBorders>
            <w:shd w:val="clear" w:color="auto" w:fill="FFFFFF"/>
            <w:tcMar>
              <w:top w:w="40" w:type="dxa"/>
              <w:left w:w="40" w:type="dxa"/>
              <w:bottom w:w="40" w:type="dxa"/>
              <w:right w:w="40" w:type="dxa"/>
            </w:tcMar>
            <w:vAlign w:val="bottom"/>
          </w:tcPr>
          <w:p w14:paraId="45A8F0E6" w14:textId="77777777" w:rsidR="009F0679" w:rsidRPr="003B0E50" w:rsidRDefault="00AF23AC" w:rsidP="00A94169">
            <w:pPr>
              <w:spacing w:before="240"/>
              <w:jc w:val="center"/>
              <w:rPr>
                <w:rFonts w:asciiTheme="majorHAnsi" w:hAnsiTheme="majorHAnsi" w:cstheme="majorHAnsi"/>
                <w:color w:val="2F2F2F"/>
              </w:rPr>
            </w:pPr>
            <w:r w:rsidRPr="003B0E50">
              <w:rPr>
                <w:rFonts w:asciiTheme="majorHAnsi" w:hAnsiTheme="majorHAnsi" w:cstheme="majorHAnsi"/>
                <w:color w:val="2F2F2F"/>
              </w:rPr>
              <w:t>BBVA</w:t>
            </w:r>
          </w:p>
        </w:tc>
        <w:tc>
          <w:tcPr>
            <w:tcW w:w="1590"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7D2E8C7B"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7.04%</w:t>
            </w:r>
          </w:p>
        </w:tc>
        <w:tc>
          <w:tcPr>
            <w:tcW w:w="1680" w:type="dxa"/>
            <w:tcBorders>
              <w:top w:val="nil"/>
              <w:left w:val="nil"/>
              <w:bottom w:val="single" w:sz="9" w:space="0" w:color="000000"/>
              <w:right w:val="single" w:sz="9" w:space="0" w:color="000000"/>
            </w:tcBorders>
            <w:shd w:val="clear" w:color="auto" w:fill="FFFFFF"/>
            <w:tcMar>
              <w:top w:w="40" w:type="dxa"/>
              <w:left w:w="40" w:type="dxa"/>
              <w:bottom w:w="40" w:type="dxa"/>
              <w:right w:w="40" w:type="dxa"/>
            </w:tcMar>
            <w:vAlign w:val="bottom"/>
          </w:tcPr>
          <w:p w14:paraId="7DD03E38" w14:textId="77777777" w:rsidR="009F0679" w:rsidRPr="003B0E50" w:rsidRDefault="00AF23AC" w:rsidP="00A94169">
            <w:pPr>
              <w:spacing w:before="240"/>
              <w:jc w:val="center"/>
              <w:rPr>
                <w:rFonts w:asciiTheme="majorHAnsi" w:hAnsiTheme="majorHAnsi" w:cstheme="majorHAnsi"/>
                <w:color w:val="2F2F2F"/>
              </w:rPr>
            </w:pPr>
            <w:r w:rsidRPr="003B0E50">
              <w:rPr>
                <w:rFonts w:asciiTheme="majorHAnsi" w:hAnsiTheme="majorHAnsi" w:cstheme="majorHAnsi"/>
                <w:color w:val="2F2F2F"/>
              </w:rPr>
              <w:t>240 meses</w:t>
            </w:r>
          </w:p>
        </w:tc>
        <w:tc>
          <w:tcPr>
            <w:tcW w:w="2007"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38EFEE25"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2,000,000,000.00</w:t>
            </w:r>
          </w:p>
        </w:tc>
        <w:tc>
          <w:tcPr>
            <w:tcW w:w="2763"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678FC865"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1,000,000,000.00</w:t>
            </w:r>
          </w:p>
        </w:tc>
      </w:tr>
      <w:tr w:rsidR="009F0679" w:rsidRPr="003B0E50" w14:paraId="05FA29C5" w14:textId="77777777" w:rsidTr="00310017">
        <w:trPr>
          <w:trHeight w:val="315"/>
        </w:trPr>
        <w:tc>
          <w:tcPr>
            <w:tcW w:w="1800" w:type="dxa"/>
            <w:tcBorders>
              <w:top w:val="nil"/>
              <w:left w:val="single" w:sz="9" w:space="0" w:color="000000"/>
              <w:bottom w:val="single" w:sz="9" w:space="0" w:color="000000"/>
              <w:right w:val="single" w:sz="9" w:space="0" w:color="000000"/>
            </w:tcBorders>
            <w:shd w:val="clear" w:color="auto" w:fill="FFFFFF"/>
            <w:tcMar>
              <w:top w:w="40" w:type="dxa"/>
              <w:left w:w="40" w:type="dxa"/>
              <w:bottom w:w="40" w:type="dxa"/>
              <w:right w:w="40" w:type="dxa"/>
            </w:tcMar>
            <w:vAlign w:val="bottom"/>
          </w:tcPr>
          <w:p w14:paraId="5013A3F5" w14:textId="77777777" w:rsidR="009F0679" w:rsidRPr="003B0E50" w:rsidRDefault="00AF23AC" w:rsidP="00A94169">
            <w:pPr>
              <w:spacing w:before="240"/>
              <w:jc w:val="center"/>
              <w:rPr>
                <w:rFonts w:asciiTheme="majorHAnsi" w:hAnsiTheme="majorHAnsi" w:cstheme="majorHAnsi"/>
                <w:color w:val="2F2F2F"/>
              </w:rPr>
            </w:pPr>
            <w:r w:rsidRPr="003B0E50">
              <w:rPr>
                <w:rFonts w:asciiTheme="majorHAnsi" w:hAnsiTheme="majorHAnsi" w:cstheme="majorHAnsi"/>
                <w:color w:val="2F2F2F"/>
              </w:rPr>
              <w:t>Citibanamex</w:t>
            </w:r>
          </w:p>
        </w:tc>
        <w:tc>
          <w:tcPr>
            <w:tcW w:w="1590"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1C85D0E9"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7.09%</w:t>
            </w:r>
          </w:p>
        </w:tc>
        <w:tc>
          <w:tcPr>
            <w:tcW w:w="1680" w:type="dxa"/>
            <w:tcBorders>
              <w:top w:val="nil"/>
              <w:left w:val="nil"/>
              <w:bottom w:val="single" w:sz="9" w:space="0" w:color="000000"/>
              <w:right w:val="single" w:sz="9" w:space="0" w:color="000000"/>
            </w:tcBorders>
            <w:shd w:val="clear" w:color="auto" w:fill="FFFFFF"/>
            <w:tcMar>
              <w:top w:w="40" w:type="dxa"/>
              <w:left w:w="40" w:type="dxa"/>
              <w:bottom w:w="40" w:type="dxa"/>
              <w:right w:w="40" w:type="dxa"/>
            </w:tcMar>
            <w:vAlign w:val="bottom"/>
          </w:tcPr>
          <w:p w14:paraId="54AC4B7E" w14:textId="77777777" w:rsidR="009F0679" w:rsidRPr="003B0E50" w:rsidRDefault="00AF23AC" w:rsidP="00A94169">
            <w:pPr>
              <w:spacing w:before="240"/>
              <w:jc w:val="center"/>
              <w:rPr>
                <w:rFonts w:asciiTheme="majorHAnsi" w:hAnsiTheme="majorHAnsi" w:cstheme="majorHAnsi"/>
                <w:color w:val="2F2F2F"/>
              </w:rPr>
            </w:pPr>
            <w:r w:rsidRPr="003B0E50">
              <w:rPr>
                <w:rFonts w:asciiTheme="majorHAnsi" w:hAnsiTheme="majorHAnsi" w:cstheme="majorHAnsi"/>
                <w:color w:val="2F2F2F"/>
              </w:rPr>
              <w:t>240 meses</w:t>
            </w:r>
          </w:p>
        </w:tc>
        <w:tc>
          <w:tcPr>
            <w:tcW w:w="2007"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70D8FA3C"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2,000,000,000.00</w:t>
            </w:r>
          </w:p>
        </w:tc>
        <w:tc>
          <w:tcPr>
            <w:tcW w:w="2763" w:type="dxa"/>
            <w:tcBorders>
              <w:top w:val="nil"/>
              <w:left w:val="nil"/>
              <w:bottom w:val="single" w:sz="9" w:space="0" w:color="000000"/>
              <w:right w:val="single" w:sz="9" w:space="0" w:color="000000"/>
            </w:tcBorders>
            <w:shd w:val="clear" w:color="auto" w:fill="auto"/>
            <w:tcMar>
              <w:top w:w="40" w:type="dxa"/>
              <w:left w:w="40" w:type="dxa"/>
              <w:bottom w:w="40" w:type="dxa"/>
              <w:right w:w="40" w:type="dxa"/>
            </w:tcMar>
            <w:vAlign w:val="bottom"/>
          </w:tcPr>
          <w:p w14:paraId="4F04CB5A" w14:textId="77777777" w:rsidR="009F0679" w:rsidRPr="003B0E50" w:rsidRDefault="00AF23AC" w:rsidP="00A94169">
            <w:pPr>
              <w:spacing w:before="240"/>
              <w:jc w:val="center"/>
              <w:rPr>
                <w:rFonts w:asciiTheme="majorHAnsi" w:hAnsiTheme="majorHAnsi" w:cstheme="majorHAnsi"/>
              </w:rPr>
            </w:pPr>
            <w:r w:rsidRPr="003B0E50">
              <w:rPr>
                <w:rFonts w:asciiTheme="majorHAnsi" w:hAnsiTheme="majorHAnsi" w:cstheme="majorHAnsi"/>
              </w:rPr>
              <w:t>1,000,000,000.00</w:t>
            </w:r>
          </w:p>
        </w:tc>
      </w:tr>
    </w:tbl>
    <w:p w14:paraId="7B4A4605" w14:textId="73F4C985" w:rsidR="009F0679" w:rsidRPr="003B0E50" w:rsidRDefault="00AF23AC" w:rsidP="00310017">
      <w:pPr>
        <w:spacing w:before="240"/>
        <w:jc w:val="both"/>
        <w:rPr>
          <w:sz w:val="20"/>
          <w:szCs w:val="20"/>
        </w:rPr>
      </w:pPr>
      <w:r w:rsidRPr="003B0E50">
        <w:rPr>
          <w:sz w:val="20"/>
          <w:szCs w:val="20"/>
        </w:rPr>
        <w:t xml:space="preserve">Fuente: Secretaría de la Hacienda Pública del Estado de Jalisco. Tasas efectivas calculadas con </w:t>
      </w:r>
      <w:proofErr w:type="gramStart"/>
      <w:r w:rsidR="0013073A" w:rsidRPr="003B0E50">
        <w:rPr>
          <w:sz w:val="20"/>
          <w:szCs w:val="20"/>
        </w:rPr>
        <w:t>el</w:t>
      </w:r>
      <w:r w:rsidR="001D2DCB" w:rsidRPr="003B0E50">
        <w:rPr>
          <w:sz w:val="20"/>
          <w:szCs w:val="20"/>
        </w:rPr>
        <w:t xml:space="preserve"> ”</w:t>
      </w:r>
      <w:r w:rsidR="0013073A" w:rsidRPr="003B0E50">
        <w:rPr>
          <w:sz w:val="20"/>
          <w:szCs w:val="20"/>
        </w:rPr>
        <w:t>Motor</w:t>
      </w:r>
      <w:proofErr w:type="gramEnd"/>
      <w:r w:rsidRPr="003B0E50">
        <w:rPr>
          <w:sz w:val="20"/>
          <w:szCs w:val="20"/>
        </w:rPr>
        <w:t xml:space="preserve"> de cálculo del men</w:t>
      </w:r>
      <w:r w:rsidR="00310017" w:rsidRPr="003B0E50">
        <w:rPr>
          <w:sz w:val="20"/>
          <w:szCs w:val="20"/>
        </w:rPr>
        <w:t>or costo financiero” de la SHCP</w:t>
      </w:r>
      <w:r w:rsidRPr="003B0E50">
        <w:rPr>
          <w:sz w:val="20"/>
          <w:szCs w:val="20"/>
        </w:rPr>
        <w:t xml:space="preserve">       </w:t>
      </w:r>
      <w:r w:rsidRPr="003B0E50">
        <w:rPr>
          <w:sz w:val="20"/>
          <w:szCs w:val="20"/>
        </w:rPr>
        <w:tab/>
      </w:r>
    </w:p>
    <w:p w14:paraId="6B6D282C" w14:textId="77777777" w:rsidR="009F0679" w:rsidRPr="003B0E50" w:rsidRDefault="00AF23AC">
      <w:pPr>
        <w:spacing w:before="240" w:after="240"/>
        <w:jc w:val="both"/>
        <w:rPr>
          <w:sz w:val="24"/>
          <w:szCs w:val="24"/>
        </w:rPr>
      </w:pPr>
      <w:r w:rsidRPr="003B0E50">
        <w:rPr>
          <w:sz w:val="24"/>
          <w:szCs w:val="24"/>
        </w:rPr>
        <w:lastRenderedPageBreak/>
        <w:t xml:space="preserve"> </w:t>
      </w:r>
    </w:p>
    <w:p w14:paraId="55AB11A6" w14:textId="77777777" w:rsidR="009F0679" w:rsidRPr="003B0E50" w:rsidRDefault="00AF23AC">
      <w:pPr>
        <w:spacing w:before="240" w:after="240"/>
        <w:jc w:val="both"/>
        <w:rPr>
          <w:b/>
          <w:sz w:val="24"/>
          <w:szCs w:val="24"/>
        </w:rPr>
      </w:pPr>
      <w:r w:rsidRPr="003B0E50">
        <w:rPr>
          <w:b/>
          <w:sz w:val="24"/>
          <w:szCs w:val="24"/>
        </w:rPr>
        <w:t>Fortaleza del proceso de asignación:</w:t>
      </w:r>
    </w:p>
    <w:p w14:paraId="1ED0FC47" w14:textId="77777777" w:rsidR="009F0679" w:rsidRPr="003B0E50" w:rsidRDefault="00AF23AC">
      <w:pPr>
        <w:spacing w:before="240" w:after="240"/>
        <w:ind w:left="360"/>
        <w:jc w:val="both"/>
        <w:rPr>
          <w:sz w:val="24"/>
          <w:szCs w:val="24"/>
        </w:rPr>
      </w:pPr>
      <w:r w:rsidRPr="003B0E50">
        <w:rPr>
          <w:sz w:val="24"/>
          <w:szCs w:val="24"/>
        </w:rPr>
        <w:t xml:space="preserve">·         Al proceso se inscribieron 10 (diez) bancos comerciales y Banobras, quienes participaron en todas las etapas del proceso. Se presentaron ofertas en firme de 8 (ocho) bancos comerciales con una oferta conjunta de crédito de 11,700 </w:t>
      </w:r>
      <w:proofErr w:type="spellStart"/>
      <w:r w:rsidRPr="003B0E50">
        <w:rPr>
          <w:sz w:val="24"/>
          <w:szCs w:val="24"/>
        </w:rPr>
        <w:t>mdp</w:t>
      </w:r>
      <w:proofErr w:type="spellEnd"/>
      <w:r w:rsidRPr="003B0E50">
        <w:rPr>
          <w:sz w:val="24"/>
          <w:szCs w:val="24"/>
        </w:rPr>
        <w:t>, casi el doble del monto solicitado. Esto indica un gran interés por parte de la banca comercial, a pesar de la astringencia crediticia en el actual entorno.</w:t>
      </w:r>
    </w:p>
    <w:p w14:paraId="06660082" w14:textId="76606566" w:rsidR="009F0679" w:rsidRPr="003B0E50" w:rsidRDefault="00AF23AC">
      <w:pPr>
        <w:spacing w:before="240" w:after="240"/>
        <w:ind w:left="360"/>
        <w:jc w:val="both"/>
        <w:rPr>
          <w:sz w:val="24"/>
          <w:szCs w:val="24"/>
        </w:rPr>
      </w:pPr>
      <w:r w:rsidRPr="003B0E50">
        <w:rPr>
          <w:sz w:val="24"/>
          <w:szCs w:val="24"/>
        </w:rPr>
        <w:t>·         Las sobretasas de interés obtenida por el Estado de Jalisco (1.08%) en este proceso es muy similar a las ofertadas por la banca COMERCIAL, en procesos recientes de entidades con calificaciones crediticias iguales a las del gobierno federal (AAA), como la CDMX (1.18%) y el gobierno de Guanajuato (1.06%), lo que resalta la eficiencia del proceso competitivo, y la confianza de la banca comercial en el Estado.</w:t>
      </w:r>
    </w:p>
    <w:p w14:paraId="6B1EF4DC" w14:textId="1ED1048F" w:rsidR="00A80693" w:rsidRPr="003B0E50" w:rsidRDefault="00A80693">
      <w:pPr>
        <w:spacing w:before="240" w:after="240"/>
        <w:ind w:left="360"/>
        <w:jc w:val="both"/>
        <w:rPr>
          <w:b/>
          <w:sz w:val="24"/>
          <w:szCs w:val="24"/>
        </w:rPr>
      </w:pPr>
      <w:r w:rsidRPr="003B0E50">
        <w:rPr>
          <w:b/>
          <w:sz w:val="24"/>
          <w:szCs w:val="24"/>
        </w:rPr>
        <w:t>Tabla 3. Comparativo de procesos competitivos recientes</w:t>
      </w:r>
    </w:p>
    <w:tbl>
      <w:tblPr>
        <w:tblW w:w="9966" w:type="dxa"/>
        <w:tblCellMar>
          <w:left w:w="70" w:type="dxa"/>
          <w:right w:w="70" w:type="dxa"/>
        </w:tblCellMar>
        <w:tblLook w:val="04A0" w:firstRow="1" w:lastRow="0" w:firstColumn="1" w:lastColumn="0" w:noHBand="0" w:noVBand="1"/>
      </w:tblPr>
      <w:tblGrid>
        <w:gridCol w:w="2240"/>
        <w:gridCol w:w="1211"/>
        <w:gridCol w:w="1380"/>
        <w:gridCol w:w="1202"/>
        <w:gridCol w:w="1202"/>
        <w:gridCol w:w="1529"/>
        <w:gridCol w:w="1202"/>
      </w:tblGrid>
      <w:tr w:rsidR="001D2DCB" w:rsidRPr="003B0E50" w14:paraId="3705908F" w14:textId="77777777" w:rsidTr="001D2DCB">
        <w:trPr>
          <w:trHeight w:val="293"/>
        </w:trPr>
        <w:tc>
          <w:tcPr>
            <w:tcW w:w="2240" w:type="dxa"/>
            <w:tcBorders>
              <w:top w:val="nil"/>
              <w:left w:val="nil"/>
              <w:bottom w:val="nil"/>
              <w:right w:val="nil"/>
            </w:tcBorders>
            <w:shd w:val="clear" w:color="auto" w:fill="auto"/>
            <w:noWrap/>
            <w:vAlign w:val="bottom"/>
            <w:hideMark/>
          </w:tcPr>
          <w:p w14:paraId="2F431979" w14:textId="77777777" w:rsidR="001D2DCB" w:rsidRPr="003B0E50" w:rsidRDefault="001D2DCB" w:rsidP="006515A3">
            <w:pPr>
              <w:spacing w:line="240" w:lineRule="auto"/>
              <w:rPr>
                <w:rFonts w:ascii="Times New Roman" w:eastAsia="Times New Roman" w:hAnsi="Times New Roman" w:cs="Times New Roman"/>
                <w:sz w:val="24"/>
                <w:szCs w:val="24"/>
                <w:lang w:val="es-MX"/>
              </w:rPr>
            </w:pPr>
          </w:p>
        </w:tc>
        <w:tc>
          <w:tcPr>
            <w:tcW w:w="1211" w:type="dxa"/>
            <w:tcBorders>
              <w:top w:val="nil"/>
              <w:left w:val="nil"/>
              <w:bottom w:val="double" w:sz="6" w:space="0" w:color="auto"/>
              <w:right w:val="nil"/>
            </w:tcBorders>
            <w:shd w:val="clear" w:color="auto" w:fill="auto"/>
            <w:noWrap/>
            <w:vAlign w:val="bottom"/>
            <w:hideMark/>
          </w:tcPr>
          <w:p w14:paraId="3C34F5C0" w14:textId="77777777" w:rsidR="001D2DCB" w:rsidRPr="003B0E50" w:rsidRDefault="001D2DCB" w:rsidP="006515A3">
            <w:pPr>
              <w:spacing w:line="240" w:lineRule="auto"/>
              <w:jc w:val="center"/>
              <w:rPr>
                <w:rFonts w:ascii="Calibri" w:eastAsia="Times New Roman" w:hAnsi="Calibri" w:cs="Calibri"/>
                <w:b/>
                <w:bCs/>
                <w:color w:val="000000"/>
                <w:lang w:val="es-MX"/>
              </w:rPr>
            </w:pPr>
            <w:r w:rsidRPr="003B0E50">
              <w:rPr>
                <w:rFonts w:ascii="Calibri" w:eastAsia="Times New Roman" w:hAnsi="Calibri" w:cs="Calibri"/>
                <w:b/>
                <w:bCs/>
                <w:color w:val="000000"/>
                <w:lang w:val="es-MX"/>
              </w:rPr>
              <w:t>Guanajuato</w:t>
            </w:r>
          </w:p>
        </w:tc>
        <w:tc>
          <w:tcPr>
            <w:tcW w:w="1380" w:type="dxa"/>
            <w:tcBorders>
              <w:top w:val="nil"/>
              <w:left w:val="nil"/>
              <w:bottom w:val="double" w:sz="6" w:space="0" w:color="auto"/>
              <w:right w:val="nil"/>
            </w:tcBorders>
            <w:shd w:val="clear" w:color="auto" w:fill="auto"/>
            <w:noWrap/>
            <w:vAlign w:val="bottom"/>
            <w:hideMark/>
          </w:tcPr>
          <w:p w14:paraId="56C49978" w14:textId="77777777" w:rsidR="001D2DCB" w:rsidRPr="003B0E50" w:rsidRDefault="001D2DCB" w:rsidP="006515A3">
            <w:pPr>
              <w:spacing w:line="240" w:lineRule="auto"/>
              <w:jc w:val="center"/>
              <w:rPr>
                <w:rFonts w:ascii="Calibri" w:eastAsia="Times New Roman" w:hAnsi="Calibri" w:cs="Calibri"/>
                <w:b/>
                <w:bCs/>
                <w:color w:val="000000"/>
                <w:lang w:val="es-MX"/>
              </w:rPr>
            </w:pPr>
            <w:r w:rsidRPr="003B0E50">
              <w:rPr>
                <w:rFonts w:ascii="Calibri" w:eastAsia="Times New Roman" w:hAnsi="Calibri" w:cs="Calibri"/>
                <w:b/>
                <w:bCs/>
                <w:color w:val="000000"/>
                <w:lang w:val="es-MX"/>
              </w:rPr>
              <w:t>Sonora</w:t>
            </w:r>
          </w:p>
        </w:tc>
        <w:tc>
          <w:tcPr>
            <w:tcW w:w="1202" w:type="dxa"/>
            <w:tcBorders>
              <w:top w:val="nil"/>
              <w:left w:val="nil"/>
              <w:bottom w:val="double" w:sz="6" w:space="0" w:color="auto"/>
              <w:right w:val="nil"/>
            </w:tcBorders>
            <w:shd w:val="clear" w:color="auto" w:fill="auto"/>
            <w:noWrap/>
            <w:vAlign w:val="bottom"/>
            <w:hideMark/>
          </w:tcPr>
          <w:p w14:paraId="4F407ED0" w14:textId="77777777" w:rsidR="001D2DCB" w:rsidRPr="003B0E50" w:rsidRDefault="001D2DCB" w:rsidP="006515A3">
            <w:pPr>
              <w:spacing w:line="240" w:lineRule="auto"/>
              <w:jc w:val="center"/>
              <w:rPr>
                <w:rFonts w:ascii="Calibri" w:eastAsia="Times New Roman" w:hAnsi="Calibri" w:cs="Calibri"/>
                <w:b/>
                <w:bCs/>
                <w:color w:val="000000"/>
                <w:lang w:val="es-MX"/>
              </w:rPr>
            </w:pPr>
            <w:r w:rsidRPr="003B0E50">
              <w:rPr>
                <w:rFonts w:ascii="Calibri" w:eastAsia="Times New Roman" w:hAnsi="Calibri" w:cs="Calibri"/>
                <w:b/>
                <w:bCs/>
                <w:color w:val="000000"/>
                <w:lang w:val="es-MX"/>
              </w:rPr>
              <w:t>CDMX</w:t>
            </w:r>
          </w:p>
        </w:tc>
        <w:tc>
          <w:tcPr>
            <w:tcW w:w="1202" w:type="dxa"/>
            <w:tcBorders>
              <w:top w:val="nil"/>
              <w:left w:val="nil"/>
              <w:bottom w:val="double" w:sz="6" w:space="0" w:color="auto"/>
              <w:right w:val="nil"/>
            </w:tcBorders>
            <w:shd w:val="clear" w:color="auto" w:fill="auto"/>
            <w:noWrap/>
            <w:vAlign w:val="bottom"/>
            <w:hideMark/>
          </w:tcPr>
          <w:p w14:paraId="784DD2D1" w14:textId="77777777" w:rsidR="001D2DCB" w:rsidRPr="003B0E50" w:rsidRDefault="001D2DCB" w:rsidP="006515A3">
            <w:pPr>
              <w:spacing w:line="240" w:lineRule="auto"/>
              <w:jc w:val="center"/>
              <w:rPr>
                <w:rFonts w:ascii="Calibri" w:eastAsia="Times New Roman" w:hAnsi="Calibri" w:cs="Calibri"/>
                <w:b/>
                <w:bCs/>
                <w:color w:val="000000"/>
                <w:lang w:val="es-MX"/>
              </w:rPr>
            </w:pPr>
            <w:r w:rsidRPr="003B0E50">
              <w:rPr>
                <w:rFonts w:ascii="Calibri" w:eastAsia="Times New Roman" w:hAnsi="Calibri" w:cs="Calibri"/>
                <w:b/>
                <w:bCs/>
                <w:color w:val="000000"/>
                <w:lang w:val="es-MX"/>
              </w:rPr>
              <w:t>Yucatán</w:t>
            </w:r>
          </w:p>
        </w:tc>
        <w:tc>
          <w:tcPr>
            <w:tcW w:w="1529" w:type="dxa"/>
            <w:tcBorders>
              <w:top w:val="nil"/>
              <w:left w:val="nil"/>
              <w:bottom w:val="double" w:sz="6" w:space="0" w:color="auto"/>
              <w:right w:val="nil"/>
            </w:tcBorders>
            <w:shd w:val="clear" w:color="auto" w:fill="auto"/>
            <w:noWrap/>
            <w:vAlign w:val="bottom"/>
            <w:hideMark/>
          </w:tcPr>
          <w:p w14:paraId="5C9D9349" w14:textId="77777777" w:rsidR="001D2DCB" w:rsidRPr="003B0E50" w:rsidRDefault="001D2DCB" w:rsidP="006515A3">
            <w:pPr>
              <w:spacing w:line="240" w:lineRule="auto"/>
              <w:jc w:val="center"/>
              <w:rPr>
                <w:rFonts w:ascii="Calibri" w:eastAsia="Times New Roman" w:hAnsi="Calibri" w:cs="Calibri"/>
                <w:b/>
                <w:bCs/>
                <w:color w:val="000000"/>
                <w:lang w:val="es-MX"/>
              </w:rPr>
            </w:pPr>
            <w:r w:rsidRPr="003B0E50">
              <w:rPr>
                <w:rFonts w:ascii="Calibri" w:eastAsia="Times New Roman" w:hAnsi="Calibri" w:cs="Calibri"/>
                <w:b/>
                <w:bCs/>
                <w:color w:val="000000"/>
                <w:lang w:val="es-MX"/>
              </w:rPr>
              <w:t xml:space="preserve">Durango </w:t>
            </w:r>
          </w:p>
        </w:tc>
        <w:tc>
          <w:tcPr>
            <w:tcW w:w="1202"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24283EFF" w14:textId="77777777" w:rsidR="001D2DCB" w:rsidRPr="003B0E50" w:rsidRDefault="001D2DCB" w:rsidP="006515A3">
            <w:pPr>
              <w:spacing w:line="240" w:lineRule="auto"/>
              <w:jc w:val="center"/>
              <w:rPr>
                <w:rFonts w:ascii="Calibri" w:eastAsia="Times New Roman" w:hAnsi="Calibri" w:cs="Calibri"/>
                <w:b/>
                <w:bCs/>
                <w:color w:val="000000"/>
                <w:lang w:val="es-MX"/>
              </w:rPr>
            </w:pPr>
            <w:r w:rsidRPr="003B0E50">
              <w:rPr>
                <w:rFonts w:ascii="Calibri" w:eastAsia="Times New Roman" w:hAnsi="Calibri" w:cs="Calibri"/>
                <w:b/>
                <w:bCs/>
                <w:color w:val="000000"/>
                <w:lang w:val="es-MX"/>
              </w:rPr>
              <w:t>Jalisco</w:t>
            </w:r>
          </w:p>
        </w:tc>
      </w:tr>
      <w:tr w:rsidR="001D2DCB" w:rsidRPr="003B0E50" w14:paraId="4A263C35" w14:textId="77777777" w:rsidTr="001D2DCB">
        <w:trPr>
          <w:trHeight w:val="293"/>
        </w:trPr>
        <w:tc>
          <w:tcPr>
            <w:tcW w:w="2240" w:type="dxa"/>
            <w:tcBorders>
              <w:top w:val="nil"/>
              <w:left w:val="nil"/>
              <w:bottom w:val="nil"/>
              <w:right w:val="nil"/>
            </w:tcBorders>
            <w:shd w:val="clear" w:color="auto" w:fill="auto"/>
            <w:noWrap/>
            <w:vAlign w:val="bottom"/>
            <w:hideMark/>
          </w:tcPr>
          <w:p w14:paraId="6B878235" w14:textId="77777777" w:rsidR="001D2DCB" w:rsidRPr="003B0E50" w:rsidRDefault="001D2DCB" w:rsidP="006515A3">
            <w:pPr>
              <w:spacing w:line="240" w:lineRule="auto"/>
              <w:jc w:val="center"/>
              <w:rPr>
                <w:rFonts w:ascii="Calibri" w:eastAsia="Times New Roman" w:hAnsi="Calibri" w:cs="Calibri"/>
                <w:b/>
                <w:bCs/>
                <w:color w:val="000000"/>
                <w:lang w:val="es-MX"/>
              </w:rPr>
            </w:pPr>
            <w:r w:rsidRPr="003B0E50">
              <w:rPr>
                <w:rFonts w:ascii="Calibri" w:eastAsia="Times New Roman" w:hAnsi="Calibri" w:cs="Calibri"/>
                <w:b/>
                <w:bCs/>
                <w:color w:val="000000"/>
                <w:lang w:val="es-MX"/>
              </w:rPr>
              <w:t>Monto (MDP)</w:t>
            </w:r>
          </w:p>
        </w:tc>
        <w:tc>
          <w:tcPr>
            <w:tcW w:w="1211" w:type="dxa"/>
            <w:tcBorders>
              <w:top w:val="nil"/>
              <w:left w:val="nil"/>
              <w:bottom w:val="nil"/>
              <w:right w:val="nil"/>
            </w:tcBorders>
            <w:shd w:val="clear" w:color="auto" w:fill="auto"/>
            <w:noWrap/>
            <w:vAlign w:val="bottom"/>
            <w:hideMark/>
          </w:tcPr>
          <w:p w14:paraId="489B174D"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2,500</w:t>
            </w:r>
          </w:p>
        </w:tc>
        <w:tc>
          <w:tcPr>
            <w:tcW w:w="1380" w:type="dxa"/>
            <w:tcBorders>
              <w:top w:val="nil"/>
              <w:left w:val="nil"/>
              <w:bottom w:val="nil"/>
              <w:right w:val="nil"/>
            </w:tcBorders>
            <w:shd w:val="clear" w:color="auto" w:fill="auto"/>
            <w:noWrap/>
            <w:vAlign w:val="bottom"/>
            <w:hideMark/>
          </w:tcPr>
          <w:p w14:paraId="00D9BC1E"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1,344</w:t>
            </w:r>
          </w:p>
        </w:tc>
        <w:tc>
          <w:tcPr>
            <w:tcW w:w="1202" w:type="dxa"/>
            <w:tcBorders>
              <w:top w:val="nil"/>
              <w:left w:val="nil"/>
              <w:bottom w:val="nil"/>
              <w:right w:val="nil"/>
            </w:tcBorders>
            <w:shd w:val="clear" w:color="auto" w:fill="auto"/>
            <w:noWrap/>
            <w:vAlign w:val="bottom"/>
            <w:hideMark/>
          </w:tcPr>
          <w:p w14:paraId="3C1287E4"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4,300</w:t>
            </w:r>
          </w:p>
        </w:tc>
        <w:tc>
          <w:tcPr>
            <w:tcW w:w="1202" w:type="dxa"/>
            <w:tcBorders>
              <w:top w:val="nil"/>
              <w:left w:val="nil"/>
              <w:bottom w:val="nil"/>
              <w:right w:val="nil"/>
            </w:tcBorders>
            <w:shd w:val="clear" w:color="auto" w:fill="auto"/>
            <w:noWrap/>
            <w:vAlign w:val="bottom"/>
            <w:hideMark/>
          </w:tcPr>
          <w:p w14:paraId="2DF40A20"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3,773</w:t>
            </w:r>
          </w:p>
        </w:tc>
        <w:tc>
          <w:tcPr>
            <w:tcW w:w="1529" w:type="dxa"/>
            <w:tcBorders>
              <w:top w:val="nil"/>
              <w:left w:val="nil"/>
              <w:bottom w:val="nil"/>
              <w:right w:val="nil"/>
            </w:tcBorders>
            <w:shd w:val="clear" w:color="auto" w:fill="auto"/>
            <w:noWrap/>
            <w:vAlign w:val="bottom"/>
            <w:hideMark/>
          </w:tcPr>
          <w:p w14:paraId="063539D5"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1,815</w:t>
            </w:r>
          </w:p>
        </w:tc>
        <w:tc>
          <w:tcPr>
            <w:tcW w:w="1202" w:type="dxa"/>
            <w:tcBorders>
              <w:top w:val="nil"/>
              <w:left w:val="single" w:sz="4" w:space="0" w:color="auto"/>
              <w:bottom w:val="nil"/>
              <w:right w:val="single" w:sz="4" w:space="0" w:color="auto"/>
            </w:tcBorders>
            <w:shd w:val="clear" w:color="auto" w:fill="auto"/>
            <w:noWrap/>
            <w:vAlign w:val="bottom"/>
            <w:hideMark/>
          </w:tcPr>
          <w:p w14:paraId="42F84971"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6,200</w:t>
            </w:r>
          </w:p>
        </w:tc>
      </w:tr>
      <w:tr w:rsidR="001D2DCB" w:rsidRPr="003B0E50" w14:paraId="1C7A4888" w14:textId="77777777" w:rsidTr="001D2DCB">
        <w:trPr>
          <w:trHeight w:val="285"/>
        </w:trPr>
        <w:tc>
          <w:tcPr>
            <w:tcW w:w="2240" w:type="dxa"/>
            <w:tcBorders>
              <w:top w:val="nil"/>
              <w:left w:val="nil"/>
              <w:bottom w:val="nil"/>
              <w:right w:val="nil"/>
            </w:tcBorders>
            <w:shd w:val="clear" w:color="auto" w:fill="auto"/>
            <w:noWrap/>
            <w:vAlign w:val="bottom"/>
            <w:hideMark/>
          </w:tcPr>
          <w:p w14:paraId="37E09406" w14:textId="77777777" w:rsidR="001D2DCB" w:rsidRPr="003B0E50" w:rsidRDefault="001D2DCB" w:rsidP="006515A3">
            <w:pPr>
              <w:spacing w:line="240" w:lineRule="auto"/>
              <w:jc w:val="center"/>
              <w:rPr>
                <w:rFonts w:ascii="Calibri" w:eastAsia="Times New Roman" w:hAnsi="Calibri" w:cs="Calibri"/>
                <w:b/>
                <w:bCs/>
                <w:color w:val="000000"/>
                <w:lang w:val="es-MX"/>
              </w:rPr>
            </w:pPr>
            <w:r w:rsidRPr="003B0E50">
              <w:rPr>
                <w:rFonts w:ascii="Calibri" w:eastAsia="Times New Roman" w:hAnsi="Calibri" w:cs="Calibri"/>
                <w:b/>
                <w:bCs/>
                <w:color w:val="000000"/>
                <w:lang w:val="es-MX"/>
              </w:rPr>
              <w:t>Monto ofertado (MDP)</w:t>
            </w:r>
          </w:p>
        </w:tc>
        <w:tc>
          <w:tcPr>
            <w:tcW w:w="1211" w:type="dxa"/>
            <w:tcBorders>
              <w:top w:val="nil"/>
              <w:left w:val="nil"/>
              <w:bottom w:val="nil"/>
              <w:right w:val="nil"/>
            </w:tcBorders>
            <w:shd w:val="clear" w:color="auto" w:fill="auto"/>
            <w:noWrap/>
            <w:vAlign w:val="bottom"/>
            <w:hideMark/>
          </w:tcPr>
          <w:p w14:paraId="3D9B6AB2"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3,750</w:t>
            </w:r>
          </w:p>
        </w:tc>
        <w:tc>
          <w:tcPr>
            <w:tcW w:w="1380" w:type="dxa"/>
            <w:tcBorders>
              <w:top w:val="nil"/>
              <w:left w:val="nil"/>
              <w:bottom w:val="nil"/>
              <w:right w:val="nil"/>
            </w:tcBorders>
            <w:shd w:val="clear" w:color="auto" w:fill="auto"/>
            <w:noWrap/>
            <w:vAlign w:val="bottom"/>
            <w:hideMark/>
          </w:tcPr>
          <w:p w14:paraId="0E58F134"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1,844</w:t>
            </w:r>
          </w:p>
        </w:tc>
        <w:tc>
          <w:tcPr>
            <w:tcW w:w="1202" w:type="dxa"/>
            <w:tcBorders>
              <w:top w:val="nil"/>
              <w:left w:val="nil"/>
              <w:bottom w:val="nil"/>
              <w:right w:val="nil"/>
            </w:tcBorders>
            <w:shd w:val="clear" w:color="auto" w:fill="auto"/>
            <w:noWrap/>
            <w:vAlign w:val="bottom"/>
            <w:hideMark/>
          </w:tcPr>
          <w:p w14:paraId="052A16C2"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23,500</w:t>
            </w:r>
          </w:p>
        </w:tc>
        <w:tc>
          <w:tcPr>
            <w:tcW w:w="1202" w:type="dxa"/>
            <w:tcBorders>
              <w:top w:val="nil"/>
              <w:left w:val="nil"/>
              <w:bottom w:val="nil"/>
              <w:right w:val="nil"/>
            </w:tcBorders>
            <w:shd w:val="clear" w:color="auto" w:fill="auto"/>
            <w:noWrap/>
            <w:vAlign w:val="bottom"/>
            <w:hideMark/>
          </w:tcPr>
          <w:p w14:paraId="3AB7D32A"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0</w:t>
            </w:r>
          </w:p>
        </w:tc>
        <w:tc>
          <w:tcPr>
            <w:tcW w:w="1529" w:type="dxa"/>
            <w:tcBorders>
              <w:top w:val="nil"/>
              <w:left w:val="nil"/>
              <w:bottom w:val="nil"/>
              <w:right w:val="nil"/>
            </w:tcBorders>
            <w:shd w:val="clear" w:color="auto" w:fill="auto"/>
            <w:noWrap/>
            <w:vAlign w:val="bottom"/>
            <w:hideMark/>
          </w:tcPr>
          <w:p w14:paraId="392CBF0F"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4,076</w:t>
            </w:r>
          </w:p>
        </w:tc>
        <w:tc>
          <w:tcPr>
            <w:tcW w:w="1202" w:type="dxa"/>
            <w:tcBorders>
              <w:top w:val="nil"/>
              <w:left w:val="single" w:sz="4" w:space="0" w:color="auto"/>
              <w:bottom w:val="nil"/>
              <w:right w:val="single" w:sz="4" w:space="0" w:color="auto"/>
            </w:tcBorders>
            <w:shd w:val="clear" w:color="auto" w:fill="auto"/>
            <w:noWrap/>
            <w:vAlign w:val="bottom"/>
            <w:hideMark/>
          </w:tcPr>
          <w:p w14:paraId="04AA8343"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11,700</w:t>
            </w:r>
          </w:p>
        </w:tc>
      </w:tr>
      <w:tr w:rsidR="001D2DCB" w:rsidRPr="003B0E50" w14:paraId="1B3D10CE" w14:textId="77777777" w:rsidTr="001D2DCB">
        <w:trPr>
          <w:trHeight w:val="570"/>
        </w:trPr>
        <w:tc>
          <w:tcPr>
            <w:tcW w:w="2240" w:type="dxa"/>
            <w:tcBorders>
              <w:top w:val="nil"/>
              <w:left w:val="nil"/>
              <w:bottom w:val="nil"/>
              <w:right w:val="nil"/>
            </w:tcBorders>
            <w:shd w:val="clear" w:color="auto" w:fill="auto"/>
            <w:vAlign w:val="center"/>
            <w:hideMark/>
          </w:tcPr>
          <w:p w14:paraId="1A3D3CCF" w14:textId="77777777" w:rsidR="001D2DCB" w:rsidRPr="003B0E50" w:rsidRDefault="001D2DCB" w:rsidP="006515A3">
            <w:pPr>
              <w:spacing w:line="240" w:lineRule="auto"/>
              <w:jc w:val="center"/>
              <w:rPr>
                <w:rFonts w:ascii="Calibri" w:eastAsia="Times New Roman" w:hAnsi="Calibri" w:cs="Calibri"/>
                <w:b/>
                <w:bCs/>
                <w:color w:val="000000"/>
                <w:lang w:val="es-MX"/>
              </w:rPr>
            </w:pPr>
            <w:r w:rsidRPr="003B0E50">
              <w:rPr>
                <w:rFonts w:ascii="Calibri" w:eastAsia="Times New Roman" w:hAnsi="Calibri" w:cs="Calibri"/>
                <w:b/>
                <w:bCs/>
                <w:color w:val="000000"/>
                <w:lang w:val="es-MX"/>
              </w:rPr>
              <w:t>Ofertado/Solicitado (Veces)</w:t>
            </w:r>
          </w:p>
        </w:tc>
        <w:tc>
          <w:tcPr>
            <w:tcW w:w="1211" w:type="dxa"/>
            <w:tcBorders>
              <w:top w:val="nil"/>
              <w:left w:val="nil"/>
              <w:bottom w:val="nil"/>
              <w:right w:val="nil"/>
            </w:tcBorders>
            <w:shd w:val="clear" w:color="auto" w:fill="auto"/>
            <w:noWrap/>
            <w:vAlign w:val="bottom"/>
            <w:hideMark/>
          </w:tcPr>
          <w:p w14:paraId="3A529BE7"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1.50</w:t>
            </w:r>
          </w:p>
        </w:tc>
        <w:tc>
          <w:tcPr>
            <w:tcW w:w="1380" w:type="dxa"/>
            <w:tcBorders>
              <w:top w:val="nil"/>
              <w:left w:val="nil"/>
              <w:bottom w:val="nil"/>
              <w:right w:val="nil"/>
            </w:tcBorders>
            <w:shd w:val="clear" w:color="auto" w:fill="auto"/>
            <w:noWrap/>
            <w:vAlign w:val="bottom"/>
            <w:hideMark/>
          </w:tcPr>
          <w:p w14:paraId="0E33CA6F"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1.37</w:t>
            </w:r>
          </w:p>
        </w:tc>
        <w:tc>
          <w:tcPr>
            <w:tcW w:w="1202" w:type="dxa"/>
            <w:tcBorders>
              <w:top w:val="nil"/>
              <w:left w:val="nil"/>
              <w:bottom w:val="nil"/>
              <w:right w:val="nil"/>
            </w:tcBorders>
            <w:shd w:val="clear" w:color="auto" w:fill="auto"/>
            <w:noWrap/>
            <w:vAlign w:val="bottom"/>
            <w:hideMark/>
          </w:tcPr>
          <w:p w14:paraId="73E9ABCF"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5.47</w:t>
            </w:r>
          </w:p>
        </w:tc>
        <w:tc>
          <w:tcPr>
            <w:tcW w:w="1202" w:type="dxa"/>
            <w:tcBorders>
              <w:top w:val="nil"/>
              <w:left w:val="nil"/>
              <w:bottom w:val="nil"/>
              <w:right w:val="nil"/>
            </w:tcBorders>
            <w:shd w:val="clear" w:color="auto" w:fill="auto"/>
            <w:noWrap/>
            <w:vAlign w:val="bottom"/>
            <w:hideMark/>
          </w:tcPr>
          <w:p w14:paraId="667119D6"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0.00</w:t>
            </w:r>
          </w:p>
        </w:tc>
        <w:tc>
          <w:tcPr>
            <w:tcW w:w="1529" w:type="dxa"/>
            <w:tcBorders>
              <w:top w:val="nil"/>
              <w:left w:val="nil"/>
              <w:bottom w:val="nil"/>
              <w:right w:val="nil"/>
            </w:tcBorders>
            <w:shd w:val="clear" w:color="auto" w:fill="auto"/>
            <w:noWrap/>
            <w:vAlign w:val="bottom"/>
            <w:hideMark/>
          </w:tcPr>
          <w:p w14:paraId="1BF9077A"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2.25</w:t>
            </w:r>
          </w:p>
        </w:tc>
        <w:tc>
          <w:tcPr>
            <w:tcW w:w="1202" w:type="dxa"/>
            <w:tcBorders>
              <w:top w:val="nil"/>
              <w:left w:val="single" w:sz="4" w:space="0" w:color="auto"/>
              <w:bottom w:val="nil"/>
              <w:right w:val="single" w:sz="4" w:space="0" w:color="auto"/>
            </w:tcBorders>
            <w:shd w:val="clear" w:color="auto" w:fill="auto"/>
            <w:noWrap/>
            <w:vAlign w:val="bottom"/>
            <w:hideMark/>
          </w:tcPr>
          <w:p w14:paraId="3BA099E7"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1.89</w:t>
            </w:r>
          </w:p>
        </w:tc>
      </w:tr>
      <w:tr w:rsidR="001D2DCB" w:rsidRPr="003B0E50" w14:paraId="233DF384" w14:textId="77777777" w:rsidTr="001D2DCB">
        <w:trPr>
          <w:trHeight w:val="285"/>
        </w:trPr>
        <w:tc>
          <w:tcPr>
            <w:tcW w:w="2240" w:type="dxa"/>
            <w:tcBorders>
              <w:top w:val="nil"/>
              <w:left w:val="nil"/>
              <w:bottom w:val="nil"/>
              <w:right w:val="nil"/>
            </w:tcBorders>
            <w:shd w:val="clear" w:color="auto" w:fill="auto"/>
            <w:noWrap/>
            <w:vAlign w:val="bottom"/>
            <w:hideMark/>
          </w:tcPr>
          <w:p w14:paraId="10BA792B" w14:textId="77777777" w:rsidR="001D2DCB" w:rsidRPr="003B0E50" w:rsidRDefault="001D2DCB" w:rsidP="006515A3">
            <w:pPr>
              <w:spacing w:line="240" w:lineRule="auto"/>
              <w:jc w:val="center"/>
              <w:rPr>
                <w:rFonts w:ascii="Calibri" w:eastAsia="Times New Roman" w:hAnsi="Calibri" w:cs="Calibri"/>
                <w:b/>
                <w:bCs/>
                <w:color w:val="000000"/>
                <w:lang w:val="es-MX"/>
              </w:rPr>
            </w:pPr>
            <w:r w:rsidRPr="003B0E50">
              <w:rPr>
                <w:rFonts w:ascii="Calibri" w:eastAsia="Times New Roman" w:hAnsi="Calibri" w:cs="Calibri"/>
                <w:b/>
                <w:bCs/>
                <w:color w:val="000000"/>
                <w:lang w:val="es-MX"/>
              </w:rPr>
              <w:t>Fecha</w:t>
            </w:r>
          </w:p>
        </w:tc>
        <w:tc>
          <w:tcPr>
            <w:tcW w:w="1211" w:type="dxa"/>
            <w:tcBorders>
              <w:top w:val="nil"/>
              <w:left w:val="nil"/>
              <w:bottom w:val="nil"/>
              <w:right w:val="nil"/>
            </w:tcBorders>
            <w:shd w:val="clear" w:color="auto" w:fill="auto"/>
            <w:noWrap/>
            <w:vAlign w:val="bottom"/>
            <w:hideMark/>
          </w:tcPr>
          <w:p w14:paraId="5CC7214A" w14:textId="77777777" w:rsidR="001D2DCB" w:rsidRPr="003B0E50" w:rsidRDefault="001D2DCB" w:rsidP="006515A3">
            <w:pPr>
              <w:spacing w:line="240" w:lineRule="auto"/>
              <w:jc w:val="right"/>
              <w:rPr>
                <w:rFonts w:ascii="Calibri" w:eastAsia="Times New Roman" w:hAnsi="Calibri" w:cs="Calibri"/>
                <w:color w:val="000000"/>
                <w:lang w:val="es-MX"/>
              </w:rPr>
            </w:pPr>
            <w:r w:rsidRPr="003B0E50">
              <w:rPr>
                <w:rFonts w:ascii="Calibri" w:eastAsia="Times New Roman" w:hAnsi="Calibri" w:cs="Calibri"/>
                <w:color w:val="000000"/>
                <w:lang w:val="es-MX"/>
              </w:rPr>
              <w:t>17/06/2020</w:t>
            </w:r>
          </w:p>
        </w:tc>
        <w:tc>
          <w:tcPr>
            <w:tcW w:w="1380" w:type="dxa"/>
            <w:tcBorders>
              <w:top w:val="nil"/>
              <w:left w:val="nil"/>
              <w:bottom w:val="nil"/>
              <w:right w:val="nil"/>
            </w:tcBorders>
            <w:shd w:val="clear" w:color="auto" w:fill="auto"/>
            <w:noWrap/>
            <w:vAlign w:val="bottom"/>
            <w:hideMark/>
          </w:tcPr>
          <w:p w14:paraId="5E54F656" w14:textId="77777777" w:rsidR="001D2DCB" w:rsidRPr="003B0E50" w:rsidRDefault="001D2DCB" w:rsidP="006515A3">
            <w:pPr>
              <w:spacing w:line="240" w:lineRule="auto"/>
              <w:jc w:val="right"/>
              <w:rPr>
                <w:rFonts w:ascii="Calibri" w:eastAsia="Times New Roman" w:hAnsi="Calibri" w:cs="Calibri"/>
                <w:color w:val="000000"/>
                <w:lang w:val="es-MX"/>
              </w:rPr>
            </w:pPr>
            <w:r w:rsidRPr="003B0E50">
              <w:rPr>
                <w:rFonts w:ascii="Calibri" w:eastAsia="Times New Roman" w:hAnsi="Calibri" w:cs="Calibri"/>
                <w:color w:val="000000"/>
                <w:lang w:val="es-MX"/>
              </w:rPr>
              <w:t>29/05/2020</w:t>
            </w:r>
          </w:p>
        </w:tc>
        <w:tc>
          <w:tcPr>
            <w:tcW w:w="1202" w:type="dxa"/>
            <w:tcBorders>
              <w:top w:val="nil"/>
              <w:left w:val="nil"/>
              <w:bottom w:val="nil"/>
              <w:right w:val="nil"/>
            </w:tcBorders>
            <w:shd w:val="clear" w:color="auto" w:fill="auto"/>
            <w:noWrap/>
            <w:vAlign w:val="bottom"/>
            <w:hideMark/>
          </w:tcPr>
          <w:p w14:paraId="7C7B3501" w14:textId="77777777" w:rsidR="001D2DCB" w:rsidRPr="003B0E50" w:rsidRDefault="001D2DCB" w:rsidP="006515A3">
            <w:pPr>
              <w:spacing w:line="240" w:lineRule="auto"/>
              <w:jc w:val="right"/>
              <w:rPr>
                <w:rFonts w:ascii="Calibri" w:eastAsia="Times New Roman" w:hAnsi="Calibri" w:cs="Calibri"/>
                <w:color w:val="000000"/>
                <w:lang w:val="es-MX"/>
              </w:rPr>
            </w:pPr>
            <w:r w:rsidRPr="003B0E50">
              <w:rPr>
                <w:rFonts w:ascii="Calibri" w:eastAsia="Times New Roman" w:hAnsi="Calibri" w:cs="Calibri"/>
                <w:color w:val="000000"/>
                <w:lang w:val="es-MX"/>
              </w:rPr>
              <w:t>08/07/2020</w:t>
            </w:r>
          </w:p>
        </w:tc>
        <w:tc>
          <w:tcPr>
            <w:tcW w:w="1202" w:type="dxa"/>
            <w:tcBorders>
              <w:top w:val="nil"/>
              <w:left w:val="nil"/>
              <w:bottom w:val="nil"/>
              <w:right w:val="nil"/>
            </w:tcBorders>
            <w:shd w:val="clear" w:color="auto" w:fill="auto"/>
            <w:noWrap/>
            <w:vAlign w:val="bottom"/>
            <w:hideMark/>
          </w:tcPr>
          <w:p w14:paraId="1DAD598E" w14:textId="77777777" w:rsidR="001D2DCB" w:rsidRPr="003B0E50" w:rsidRDefault="001D2DCB" w:rsidP="006515A3">
            <w:pPr>
              <w:spacing w:line="240" w:lineRule="auto"/>
              <w:jc w:val="right"/>
              <w:rPr>
                <w:rFonts w:ascii="Calibri" w:eastAsia="Times New Roman" w:hAnsi="Calibri" w:cs="Calibri"/>
                <w:color w:val="000000"/>
                <w:lang w:val="es-MX"/>
              </w:rPr>
            </w:pPr>
            <w:r w:rsidRPr="003B0E50">
              <w:rPr>
                <w:rFonts w:ascii="Calibri" w:eastAsia="Times New Roman" w:hAnsi="Calibri" w:cs="Calibri"/>
                <w:color w:val="000000"/>
                <w:lang w:val="es-MX"/>
              </w:rPr>
              <w:t>23/06/2020</w:t>
            </w:r>
          </w:p>
        </w:tc>
        <w:tc>
          <w:tcPr>
            <w:tcW w:w="1529" w:type="dxa"/>
            <w:tcBorders>
              <w:top w:val="nil"/>
              <w:left w:val="nil"/>
              <w:bottom w:val="nil"/>
              <w:right w:val="nil"/>
            </w:tcBorders>
            <w:shd w:val="clear" w:color="auto" w:fill="auto"/>
            <w:noWrap/>
            <w:vAlign w:val="bottom"/>
            <w:hideMark/>
          </w:tcPr>
          <w:p w14:paraId="1E516F89" w14:textId="77777777" w:rsidR="001D2DCB" w:rsidRPr="003B0E50" w:rsidRDefault="001D2DCB" w:rsidP="006515A3">
            <w:pPr>
              <w:spacing w:line="240" w:lineRule="auto"/>
              <w:jc w:val="right"/>
              <w:rPr>
                <w:rFonts w:ascii="Calibri" w:eastAsia="Times New Roman" w:hAnsi="Calibri" w:cs="Calibri"/>
                <w:color w:val="000000"/>
                <w:lang w:val="es-MX"/>
              </w:rPr>
            </w:pPr>
            <w:r w:rsidRPr="003B0E50">
              <w:rPr>
                <w:rFonts w:ascii="Calibri" w:eastAsia="Times New Roman" w:hAnsi="Calibri" w:cs="Calibri"/>
                <w:color w:val="000000"/>
                <w:lang w:val="es-MX"/>
              </w:rPr>
              <w:t>15/07/2020</w:t>
            </w:r>
          </w:p>
        </w:tc>
        <w:tc>
          <w:tcPr>
            <w:tcW w:w="1202" w:type="dxa"/>
            <w:tcBorders>
              <w:top w:val="nil"/>
              <w:left w:val="single" w:sz="4" w:space="0" w:color="auto"/>
              <w:bottom w:val="nil"/>
              <w:right w:val="single" w:sz="4" w:space="0" w:color="auto"/>
            </w:tcBorders>
            <w:shd w:val="clear" w:color="auto" w:fill="auto"/>
            <w:noWrap/>
            <w:vAlign w:val="bottom"/>
            <w:hideMark/>
          </w:tcPr>
          <w:p w14:paraId="3530912B" w14:textId="77777777" w:rsidR="001D2DCB" w:rsidRPr="003B0E50" w:rsidRDefault="001D2DCB" w:rsidP="006515A3">
            <w:pPr>
              <w:spacing w:line="240" w:lineRule="auto"/>
              <w:jc w:val="right"/>
              <w:rPr>
                <w:rFonts w:ascii="Calibri" w:eastAsia="Times New Roman" w:hAnsi="Calibri" w:cs="Calibri"/>
                <w:color w:val="000000"/>
                <w:lang w:val="es-MX"/>
              </w:rPr>
            </w:pPr>
            <w:r w:rsidRPr="003B0E50">
              <w:rPr>
                <w:rFonts w:ascii="Calibri" w:eastAsia="Times New Roman" w:hAnsi="Calibri" w:cs="Calibri"/>
                <w:color w:val="000000"/>
                <w:lang w:val="es-MX"/>
              </w:rPr>
              <w:t>09/07/2020</w:t>
            </w:r>
          </w:p>
        </w:tc>
      </w:tr>
      <w:tr w:rsidR="001D2DCB" w:rsidRPr="003B0E50" w14:paraId="2784F01F" w14:textId="77777777" w:rsidTr="001D2DCB">
        <w:trPr>
          <w:trHeight w:val="585"/>
        </w:trPr>
        <w:tc>
          <w:tcPr>
            <w:tcW w:w="2240" w:type="dxa"/>
            <w:tcBorders>
              <w:top w:val="nil"/>
              <w:left w:val="nil"/>
              <w:bottom w:val="nil"/>
              <w:right w:val="nil"/>
            </w:tcBorders>
            <w:shd w:val="clear" w:color="auto" w:fill="auto"/>
            <w:vAlign w:val="center"/>
            <w:hideMark/>
          </w:tcPr>
          <w:p w14:paraId="1AB3E114" w14:textId="77777777" w:rsidR="001D2DCB" w:rsidRPr="003B0E50" w:rsidRDefault="001D2DCB" w:rsidP="006515A3">
            <w:pPr>
              <w:spacing w:line="240" w:lineRule="auto"/>
              <w:jc w:val="center"/>
              <w:rPr>
                <w:rFonts w:ascii="Calibri" w:eastAsia="Times New Roman" w:hAnsi="Calibri" w:cs="Calibri"/>
                <w:b/>
                <w:bCs/>
                <w:color w:val="000000"/>
                <w:lang w:val="es-MX"/>
              </w:rPr>
            </w:pPr>
            <w:r w:rsidRPr="003B0E50">
              <w:rPr>
                <w:rFonts w:ascii="Calibri" w:eastAsia="Times New Roman" w:hAnsi="Calibri" w:cs="Calibri"/>
                <w:b/>
                <w:bCs/>
                <w:color w:val="000000"/>
                <w:lang w:val="es-MX"/>
              </w:rPr>
              <w:t>Calificación Quirografaria</w:t>
            </w:r>
          </w:p>
        </w:tc>
        <w:tc>
          <w:tcPr>
            <w:tcW w:w="1211" w:type="dxa"/>
            <w:tcBorders>
              <w:top w:val="nil"/>
              <w:left w:val="nil"/>
              <w:bottom w:val="nil"/>
              <w:right w:val="nil"/>
            </w:tcBorders>
            <w:shd w:val="clear" w:color="auto" w:fill="auto"/>
            <w:noWrap/>
            <w:vAlign w:val="bottom"/>
            <w:hideMark/>
          </w:tcPr>
          <w:p w14:paraId="01CE72BE"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AAA</w:t>
            </w:r>
          </w:p>
        </w:tc>
        <w:tc>
          <w:tcPr>
            <w:tcW w:w="1380" w:type="dxa"/>
            <w:tcBorders>
              <w:top w:val="nil"/>
              <w:left w:val="nil"/>
              <w:bottom w:val="nil"/>
              <w:right w:val="nil"/>
            </w:tcBorders>
            <w:shd w:val="clear" w:color="auto" w:fill="auto"/>
            <w:noWrap/>
            <w:vAlign w:val="bottom"/>
            <w:hideMark/>
          </w:tcPr>
          <w:p w14:paraId="68149885"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A-</w:t>
            </w:r>
          </w:p>
        </w:tc>
        <w:tc>
          <w:tcPr>
            <w:tcW w:w="1202" w:type="dxa"/>
            <w:tcBorders>
              <w:top w:val="nil"/>
              <w:left w:val="nil"/>
              <w:bottom w:val="nil"/>
              <w:right w:val="nil"/>
            </w:tcBorders>
            <w:shd w:val="clear" w:color="auto" w:fill="auto"/>
            <w:noWrap/>
            <w:vAlign w:val="bottom"/>
            <w:hideMark/>
          </w:tcPr>
          <w:p w14:paraId="792C1AAE"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AAA</w:t>
            </w:r>
          </w:p>
        </w:tc>
        <w:tc>
          <w:tcPr>
            <w:tcW w:w="1202" w:type="dxa"/>
            <w:tcBorders>
              <w:top w:val="nil"/>
              <w:left w:val="nil"/>
              <w:bottom w:val="nil"/>
              <w:right w:val="nil"/>
            </w:tcBorders>
            <w:shd w:val="clear" w:color="auto" w:fill="auto"/>
            <w:noWrap/>
            <w:vAlign w:val="bottom"/>
            <w:hideMark/>
          </w:tcPr>
          <w:p w14:paraId="2C08796D"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A+</w:t>
            </w:r>
          </w:p>
        </w:tc>
        <w:tc>
          <w:tcPr>
            <w:tcW w:w="1529" w:type="dxa"/>
            <w:tcBorders>
              <w:top w:val="nil"/>
              <w:left w:val="nil"/>
              <w:bottom w:val="nil"/>
              <w:right w:val="nil"/>
            </w:tcBorders>
            <w:shd w:val="clear" w:color="auto" w:fill="auto"/>
            <w:noWrap/>
            <w:vAlign w:val="bottom"/>
            <w:hideMark/>
          </w:tcPr>
          <w:p w14:paraId="5C2719F2"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A</w:t>
            </w:r>
          </w:p>
        </w:tc>
        <w:tc>
          <w:tcPr>
            <w:tcW w:w="1202" w:type="dxa"/>
            <w:tcBorders>
              <w:top w:val="nil"/>
              <w:left w:val="single" w:sz="4" w:space="0" w:color="auto"/>
              <w:bottom w:val="nil"/>
              <w:right w:val="single" w:sz="4" w:space="0" w:color="auto"/>
            </w:tcBorders>
            <w:shd w:val="clear" w:color="auto" w:fill="auto"/>
            <w:noWrap/>
            <w:vAlign w:val="bottom"/>
            <w:hideMark/>
          </w:tcPr>
          <w:p w14:paraId="631B4077"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AA-</w:t>
            </w:r>
          </w:p>
        </w:tc>
      </w:tr>
      <w:tr w:rsidR="001D2DCB" w:rsidRPr="003B0E50" w14:paraId="12B2DFEB" w14:textId="77777777" w:rsidTr="001D2DCB">
        <w:trPr>
          <w:trHeight w:val="285"/>
        </w:trPr>
        <w:tc>
          <w:tcPr>
            <w:tcW w:w="2240" w:type="dxa"/>
            <w:tcBorders>
              <w:top w:val="nil"/>
              <w:left w:val="nil"/>
              <w:bottom w:val="nil"/>
              <w:right w:val="nil"/>
            </w:tcBorders>
            <w:shd w:val="clear" w:color="auto" w:fill="auto"/>
            <w:noWrap/>
            <w:vAlign w:val="bottom"/>
            <w:hideMark/>
          </w:tcPr>
          <w:p w14:paraId="31FC9567" w14:textId="77777777" w:rsidR="001D2DCB" w:rsidRPr="003B0E50" w:rsidRDefault="001D2DCB" w:rsidP="006515A3">
            <w:pPr>
              <w:spacing w:line="240" w:lineRule="auto"/>
              <w:jc w:val="center"/>
              <w:rPr>
                <w:rFonts w:ascii="Calibri" w:eastAsia="Times New Roman" w:hAnsi="Calibri" w:cs="Calibri"/>
                <w:b/>
                <w:bCs/>
                <w:color w:val="000000"/>
                <w:lang w:val="es-MX"/>
              </w:rPr>
            </w:pPr>
            <w:r w:rsidRPr="003B0E50">
              <w:rPr>
                <w:rFonts w:ascii="Calibri" w:eastAsia="Times New Roman" w:hAnsi="Calibri" w:cs="Calibri"/>
                <w:b/>
                <w:bCs/>
                <w:color w:val="000000"/>
                <w:lang w:val="es-MX"/>
              </w:rPr>
              <w:t>Plazo en meses</w:t>
            </w:r>
          </w:p>
        </w:tc>
        <w:tc>
          <w:tcPr>
            <w:tcW w:w="1211" w:type="dxa"/>
            <w:tcBorders>
              <w:top w:val="nil"/>
              <w:left w:val="nil"/>
              <w:bottom w:val="nil"/>
              <w:right w:val="nil"/>
            </w:tcBorders>
            <w:shd w:val="clear" w:color="auto" w:fill="auto"/>
            <w:noWrap/>
            <w:vAlign w:val="bottom"/>
            <w:hideMark/>
          </w:tcPr>
          <w:p w14:paraId="41FC567A"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120</w:t>
            </w:r>
          </w:p>
        </w:tc>
        <w:tc>
          <w:tcPr>
            <w:tcW w:w="1380" w:type="dxa"/>
            <w:tcBorders>
              <w:top w:val="nil"/>
              <w:left w:val="nil"/>
              <w:bottom w:val="nil"/>
              <w:right w:val="nil"/>
            </w:tcBorders>
            <w:shd w:val="clear" w:color="auto" w:fill="auto"/>
            <w:noWrap/>
            <w:vAlign w:val="bottom"/>
            <w:hideMark/>
          </w:tcPr>
          <w:p w14:paraId="088E59CB"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240</w:t>
            </w:r>
          </w:p>
        </w:tc>
        <w:tc>
          <w:tcPr>
            <w:tcW w:w="1202" w:type="dxa"/>
            <w:tcBorders>
              <w:top w:val="nil"/>
              <w:left w:val="nil"/>
              <w:bottom w:val="nil"/>
              <w:right w:val="nil"/>
            </w:tcBorders>
            <w:shd w:val="clear" w:color="auto" w:fill="auto"/>
            <w:noWrap/>
            <w:vAlign w:val="bottom"/>
            <w:hideMark/>
          </w:tcPr>
          <w:p w14:paraId="5817818F"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120</w:t>
            </w:r>
          </w:p>
        </w:tc>
        <w:tc>
          <w:tcPr>
            <w:tcW w:w="1202" w:type="dxa"/>
            <w:tcBorders>
              <w:top w:val="nil"/>
              <w:left w:val="nil"/>
              <w:bottom w:val="nil"/>
              <w:right w:val="nil"/>
            </w:tcBorders>
            <w:shd w:val="clear" w:color="auto" w:fill="auto"/>
            <w:noWrap/>
            <w:vAlign w:val="bottom"/>
            <w:hideMark/>
          </w:tcPr>
          <w:p w14:paraId="18D2295D"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240</w:t>
            </w:r>
          </w:p>
        </w:tc>
        <w:tc>
          <w:tcPr>
            <w:tcW w:w="1529" w:type="dxa"/>
            <w:tcBorders>
              <w:top w:val="nil"/>
              <w:left w:val="nil"/>
              <w:bottom w:val="nil"/>
              <w:right w:val="nil"/>
            </w:tcBorders>
            <w:shd w:val="clear" w:color="auto" w:fill="auto"/>
            <w:noWrap/>
            <w:vAlign w:val="bottom"/>
            <w:hideMark/>
          </w:tcPr>
          <w:p w14:paraId="5189832A"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240</w:t>
            </w:r>
          </w:p>
        </w:tc>
        <w:tc>
          <w:tcPr>
            <w:tcW w:w="1202" w:type="dxa"/>
            <w:tcBorders>
              <w:top w:val="nil"/>
              <w:left w:val="single" w:sz="4" w:space="0" w:color="auto"/>
              <w:bottom w:val="nil"/>
              <w:right w:val="single" w:sz="4" w:space="0" w:color="auto"/>
            </w:tcBorders>
            <w:shd w:val="clear" w:color="auto" w:fill="auto"/>
            <w:noWrap/>
            <w:vAlign w:val="bottom"/>
            <w:hideMark/>
          </w:tcPr>
          <w:p w14:paraId="2379CCCF"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197</w:t>
            </w:r>
          </w:p>
        </w:tc>
      </w:tr>
      <w:tr w:rsidR="001D2DCB" w:rsidRPr="003B0E50" w14:paraId="05EE65CF" w14:textId="77777777" w:rsidTr="001D2DCB">
        <w:trPr>
          <w:trHeight w:val="570"/>
        </w:trPr>
        <w:tc>
          <w:tcPr>
            <w:tcW w:w="2240" w:type="dxa"/>
            <w:tcBorders>
              <w:top w:val="single" w:sz="4" w:space="0" w:color="auto"/>
              <w:left w:val="single" w:sz="4" w:space="0" w:color="auto"/>
              <w:bottom w:val="single" w:sz="4" w:space="0" w:color="auto"/>
              <w:right w:val="nil"/>
            </w:tcBorders>
            <w:shd w:val="clear" w:color="auto" w:fill="auto"/>
            <w:vAlign w:val="center"/>
            <w:hideMark/>
          </w:tcPr>
          <w:p w14:paraId="7344EF1E" w14:textId="77777777" w:rsidR="001D2DCB" w:rsidRPr="003B0E50" w:rsidRDefault="001D2DCB" w:rsidP="006515A3">
            <w:pPr>
              <w:spacing w:line="240" w:lineRule="auto"/>
              <w:jc w:val="center"/>
              <w:rPr>
                <w:rFonts w:ascii="Calibri" w:eastAsia="Times New Roman" w:hAnsi="Calibri" w:cs="Calibri"/>
                <w:b/>
                <w:bCs/>
                <w:color w:val="000000"/>
                <w:lang w:val="es-MX"/>
              </w:rPr>
            </w:pPr>
            <w:r w:rsidRPr="003B0E50">
              <w:rPr>
                <w:rFonts w:ascii="Calibri" w:eastAsia="Times New Roman" w:hAnsi="Calibri" w:cs="Calibri"/>
                <w:b/>
                <w:bCs/>
                <w:color w:val="000000"/>
                <w:lang w:val="es-MX"/>
              </w:rPr>
              <w:t>Sobretasa promedio (%) Sin Banobras</w:t>
            </w:r>
          </w:p>
        </w:tc>
        <w:tc>
          <w:tcPr>
            <w:tcW w:w="1211" w:type="dxa"/>
            <w:tcBorders>
              <w:top w:val="single" w:sz="4" w:space="0" w:color="auto"/>
              <w:left w:val="nil"/>
              <w:bottom w:val="single" w:sz="4" w:space="0" w:color="auto"/>
              <w:right w:val="nil"/>
            </w:tcBorders>
            <w:shd w:val="clear" w:color="auto" w:fill="auto"/>
            <w:noWrap/>
            <w:vAlign w:val="bottom"/>
            <w:hideMark/>
          </w:tcPr>
          <w:p w14:paraId="36964D4E"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1.06</w:t>
            </w:r>
          </w:p>
        </w:tc>
        <w:tc>
          <w:tcPr>
            <w:tcW w:w="1380" w:type="dxa"/>
            <w:tcBorders>
              <w:top w:val="single" w:sz="4" w:space="0" w:color="auto"/>
              <w:left w:val="nil"/>
              <w:bottom w:val="single" w:sz="4" w:space="0" w:color="auto"/>
              <w:right w:val="nil"/>
            </w:tcBorders>
            <w:shd w:val="clear" w:color="auto" w:fill="auto"/>
            <w:noWrap/>
            <w:vAlign w:val="bottom"/>
            <w:hideMark/>
          </w:tcPr>
          <w:p w14:paraId="3F208978"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2.44</w:t>
            </w:r>
          </w:p>
        </w:tc>
        <w:tc>
          <w:tcPr>
            <w:tcW w:w="1202" w:type="dxa"/>
            <w:tcBorders>
              <w:top w:val="single" w:sz="4" w:space="0" w:color="auto"/>
              <w:left w:val="nil"/>
              <w:bottom w:val="single" w:sz="4" w:space="0" w:color="auto"/>
              <w:right w:val="nil"/>
            </w:tcBorders>
            <w:shd w:val="clear" w:color="auto" w:fill="auto"/>
            <w:noWrap/>
            <w:vAlign w:val="bottom"/>
            <w:hideMark/>
          </w:tcPr>
          <w:p w14:paraId="5E469C28"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1.18</w:t>
            </w:r>
          </w:p>
        </w:tc>
        <w:tc>
          <w:tcPr>
            <w:tcW w:w="1202" w:type="dxa"/>
            <w:tcBorders>
              <w:top w:val="single" w:sz="4" w:space="0" w:color="auto"/>
              <w:left w:val="nil"/>
              <w:bottom w:val="single" w:sz="4" w:space="0" w:color="auto"/>
              <w:right w:val="nil"/>
            </w:tcBorders>
            <w:shd w:val="clear" w:color="auto" w:fill="auto"/>
            <w:noWrap/>
            <w:vAlign w:val="bottom"/>
            <w:hideMark/>
          </w:tcPr>
          <w:p w14:paraId="55E18305"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N/A</w:t>
            </w:r>
          </w:p>
        </w:tc>
        <w:tc>
          <w:tcPr>
            <w:tcW w:w="1529" w:type="dxa"/>
            <w:tcBorders>
              <w:top w:val="single" w:sz="4" w:space="0" w:color="auto"/>
              <w:left w:val="nil"/>
              <w:bottom w:val="single" w:sz="4" w:space="0" w:color="auto"/>
              <w:right w:val="nil"/>
            </w:tcBorders>
            <w:shd w:val="clear" w:color="auto" w:fill="auto"/>
            <w:noWrap/>
            <w:vAlign w:val="bottom"/>
            <w:hideMark/>
          </w:tcPr>
          <w:p w14:paraId="476C4483"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2.77</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D2C6F"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1.08</w:t>
            </w:r>
          </w:p>
        </w:tc>
      </w:tr>
      <w:tr w:rsidR="001D2DCB" w:rsidRPr="003B0E50" w14:paraId="70BAB1BD" w14:textId="77777777" w:rsidTr="001D2DCB">
        <w:trPr>
          <w:trHeight w:val="570"/>
        </w:trPr>
        <w:tc>
          <w:tcPr>
            <w:tcW w:w="2240" w:type="dxa"/>
            <w:tcBorders>
              <w:top w:val="nil"/>
              <w:left w:val="nil"/>
              <w:bottom w:val="nil"/>
              <w:right w:val="nil"/>
            </w:tcBorders>
            <w:shd w:val="clear" w:color="auto" w:fill="auto"/>
            <w:vAlign w:val="center"/>
            <w:hideMark/>
          </w:tcPr>
          <w:p w14:paraId="25C4749E" w14:textId="77777777" w:rsidR="001D2DCB" w:rsidRPr="003B0E50" w:rsidRDefault="001D2DCB" w:rsidP="006515A3">
            <w:pPr>
              <w:spacing w:line="240" w:lineRule="auto"/>
              <w:jc w:val="center"/>
              <w:rPr>
                <w:rFonts w:ascii="Calibri" w:eastAsia="Times New Roman" w:hAnsi="Calibri" w:cs="Calibri"/>
                <w:b/>
                <w:bCs/>
                <w:color w:val="000000"/>
                <w:lang w:val="es-MX"/>
              </w:rPr>
            </w:pPr>
            <w:r w:rsidRPr="003B0E50">
              <w:rPr>
                <w:rFonts w:ascii="Calibri" w:eastAsia="Times New Roman" w:hAnsi="Calibri" w:cs="Calibri"/>
                <w:b/>
                <w:bCs/>
                <w:color w:val="000000"/>
                <w:lang w:val="es-MX"/>
              </w:rPr>
              <w:t>Sobretasa promedio (%) Sólo Banobras</w:t>
            </w:r>
          </w:p>
        </w:tc>
        <w:tc>
          <w:tcPr>
            <w:tcW w:w="1211" w:type="dxa"/>
            <w:tcBorders>
              <w:top w:val="nil"/>
              <w:left w:val="nil"/>
              <w:bottom w:val="nil"/>
              <w:right w:val="nil"/>
            </w:tcBorders>
            <w:shd w:val="clear" w:color="auto" w:fill="auto"/>
            <w:noWrap/>
            <w:vAlign w:val="bottom"/>
            <w:hideMark/>
          </w:tcPr>
          <w:p w14:paraId="7CBA90A2"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N/A</w:t>
            </w:r>
          </w:p>
        </w:tc>
        <w:tc>
          <w:tcPr>
            <w:tcW w:w="1380" w:type="dxa"/>
            <w:tcBorders>
              <w:top w:val="nil"/>
              <w:left w:val="nil"/>
              <w:bottom w:val="nil"/>
              <w:right w:val="nil"/>
            </w:tcBorders>
            <w:shd w:val="clear" w:color="auto" w:fill="auto"/>
            <w:noWrap/>
            <w:vAlign w:val="bottom"/>
            <w:hideMark/>
          </w:tcPr>
          <w:p w14:paraId="1C4BA2BF"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N/A</w:t>
            </w:r>
          </w:p>
        </w:tc>
        <w:tc>
          <w:tcPr>
            <w:tcW w:w="1202" w:type="dxa"/>
            <w:tcBorders>
              <w:top w:val="nil"/>
              <w:left w:val="nil"/>
              <w:bottom w:val="nil"/>
              <w:right w:val="nil"/>
            </w:tcBorders>
            <w:shd w:val="clear" w:color="auto" w:fill="auto"/>
            <w:noWrap/>
            <w:vAlign w:val="bottom"/>
            <w:hideMark/>
          </w:tcPr>
          <w:p w14:paraId="1CAF31A9"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0.52</w:t>
            </w:r>
          </w:p>
        </w:tc>
        <w:tc>
          <w:tcPr>
            <w:tcW w:w="1202" w:type="dxa"/>
            <w:tcBorders>
              <w:top w:val="nil"/>
              <w:left w:val="nil"/>
              <w:bottom w:val="nil"/>
              <w:right w:val="nil"/>
            </w:tcBorders>
            <w:shd w:val="clear" w:color="auto" w:fill="auto"/>
            <w:noWrap/>
            <w:vAlign w:val="bottom"/>
            <w:hideMark/>
          </w:tcPr>
          <w:p w14:paraId="0810E3AF"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N/A</w:t>
            </w:r>
          </w:p>
        </w:tc>
        <w:tc>
          <w:tcPr>
            <w:tcW w:w="1529" w:type="dxa"/>
            <w:tcBorders>
              <w:top w:val="nil"/>
              <w:left w:val="nil"/>
              <w:bottom w:val="nil"/>
              <w:right w:val="nil"/>
            </w:tcBorders>
            <w:shd w:val="clear" w:color="auto" w:fill="auto"/>
            <w:noWrap/>
            <w:vAlign w:val="bottom"/>
            <w:hideMark/>
          </w:tcPr>
          <w:p w14:paraId="0AFB6866"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1.01</w:t>
            </w:r>
          </w:p>
        </w:tc>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69E0D0E4"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N/A</w:t>
            </w:r>
          </w:p>
        </w:tc>
      </w:tr>
      <w:tr w:rsidR="001D2DCB" w:rsidRPr="003B0E50" w14:paraId="157FE472" w14:textId="77777777" w:rsidTr="001D2DCB">
        <w:trPr>
          <w:trHeight w:val="3990"/>
        </w:trPr>
        <w:tc>
          <w:tcPr>
            <w:tcW w:w="2240" w:type="dxa"/>
            <w:tcBorders>
              <w:top w:val="nil"/>
              <w:left w:val="nil"/>
              <w:bottom w:val="nil"/>
              <w:right w:val="nil"/>
            </w:tcBorders>
            <w:shd w:val="clear" w:color="auto" w:fill="auto"/>
            <w:vAlign w:val="center"/>
            <w:hideMark/>
          </w:tcPr>
          <w:p w14:paraId="4541839D" w14:textId="77777777" w:rsidR="001D2DCB" w:rsidRPr="003B0E50" w:rsidRDefault="001D2DCB" w:rsidP="006515A3">
            <w:pPr>
              <w:spacing w:line="240" w:lineRule="auto"/>
              <w:jc w:val="center"/>
              <w:rPr>
                <w:rFonts w:ascii="Calibri" w:eastAsia="Times New Roman" w:hAnsi="Calibri" w:cs="Calibri"/>
                <w:b/>
                <w:bCs/>
                <w:color w:val="000000"/>
                <w:lang w:val="es-MX"/>
              </w:rPr>
            </w:pPr>
            <w:r w:rsidRPr="003B0E50">
              <w:rPr>
                <w:rFonts w:ascii="Calibri" w:eastAsia="Times New Roman" w:hAnsi="Calibri" w:cs="Calibri"/>
                <w:b/>
                <w:bCs/>
                <w:color w:val="000000"/>
                <w:lang w:val="es-MX"/>
              </w:rPr>
              <w:t>Comentarios</w:t>
            </w:r>
          </w:p>
        </w:tc>
        <w:tc>
          <w:tcPr>
            <w:tcW w:w="1211" w:type="dxa"/>
            <w:tcBorders>
              <w:top w:val="nil"/>
              <w:left w:val="nil"/>
              <w:bottom w:val="nil"/>
              <w:right w:val="nil"/>
            </w:tcBorders>
            <w:shd w:val="clear" w:color="auto" w:fill="auto"/>
            <w:vAlign w:val="center"/>
            <w:hideMark/>
          </w:tcPr>
          <w:p w14:paraId="7D6303DC" w14:textId="60C6B5B2" w:rsidR="001D2DCB" w:rsidRPr="003B0E50" w:rsidRDefault="001D2DCB" w:rsidP="00667DB5">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Se declaró desierta</w:t>
            </w:r>
            <w:r w:rsidR="00667DB5" w:rsidRPr="003B0E50">
              <w:rPr>
                <w:rFonts w:ascii="Calibri" w:eastAsia="Times New Roman" w:hAnsi="Calibri" w:cs="Calibri"/>
                <w:color w:val="000000"/>
                <w:lang w:val="es-MX"/>
              </w:rPr>
              <w:t>. Cuatro ofertas en firme por parte de la banca comercial.</w:t>
            </w:r>
          </w:p>
        </w:tc>
        <w:tc>
          <w:tcPr>
            <w:tcW w:w="1380" w:type="dxa"/>
            <w:tcBorders>
              <w:top w:val="nil"/>
              <w:left w:val="nil"/>
              <w:bottom w:val="nil"/>
              <w:right w:val="nil"/>
            </w:tcBorders>
            <w:shd w:val="clear" w:color="auto" w:fill="auto"/>
            <w:vAlign w:val="center"/>
            <w:hideMark/>
          </w:tcPr>
          <w:p w14:paraId="5A98095A"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 xml:space="preserve">Se declaró desierta una vez por falta de ofertas. Se volvió y lanzar y se asignó con la mayor sobretasa para un estado con esa calificación desde la </w:t>
            </w:r>
            <w:r w:rsidRPr="003B0E50">
              <w:rPr>
                <w:rFonts w:ascii="Calibri" w:eastAsia="Times New Roman" w:hAnsi="Calibri" w:cs="Calibri"/>
                <w:color w:val="000000"/>
                <w:lang w:val="es-MX"/>
              </w:rPr>
              <w:lastRenderedPageBreak/>
              <w:t>promulgación de la LDF.</w:t>
            </w:r>
          </w:p>
        </w:tc>
        <w:tc>
          <w:tcPr>
            <w:tcW w:w="1202" w:type="dxa"/>
            <w:tcBorders>
              <w:top w:val="nil"/>
              <w:left w:val="nil"/>
              <w:bottom w:val="nil"/>
              <w:right w:val="nil"/>
            </w:tcBorders>
            <w:shd w:val="clear" w:color="auto" w:fill="auto"/>
            <w:vAlign w:val="center"/>
            <w:hideMark/>
          </w:tcPr>
          <w:p w14:paraId="15ABBA68" w14:textId="77777777"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lastRenderedPageBreak/>
              <w:t>Asignado a Banobras</w:t>
            </w:r>
          </w:p>
        </w:tc>
        <w:tc>
          <w:tcPr>
            <w:tcW w:w="1202" w:type="dxa"/>
            <w:tcBorders>
              <w:top w:val="nil"/>
              <w:left w:val="nil"/>
              <w:bottom w:val="nil"/>
              <w:right w:val="nil"/>
            </w:tcBorders>
            <w:shd w:val="clear" w:color="auto" w:fill="auto"/>
            <w:vAlign w:val="center"/>
            <w:hideMark/>
          </w:tcPr>
          <w:p w14:paraId="781AF328" w14:textId="45F2D701" w:rsidR="001D2DCB" w:rsidRPr="003B0E50" w:rsidRDefault="00A94169"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Se canceló</w:t>
            </w:r>
          </w:p>
        </w:tc>
        <w:tc>
          <w:tcPr>
            <w:tcW w:w="1529" w:type="dxa"/>
            <w:tcBorders>
              <w:top w:val="nil"/>
              <w:left w:val="nil"/>
              <w:bottom w:val="nil"/>
              <w:right w:val="nil"/>
            </w:tcBorders>
            <w:shd w:val="clear" w:color="auto" w:fill="auto"/>
            <w:vAlign w:val="center"/>
            <w:hideMark/>
          </w:tcPr>
          <w:p w14:paraId="3CEF3B65" w14:textId="66C709C4"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t xml:space="preserve">Asignado a Banobras. </w:t>
            </w:r>
            <w:r w:rsidR="00D2693B" w:rsidRPr="003B0E50">
              <w:rPr>
                <w:rFonts w:ascii="Calibri" w:eastAsia="Times New Roman" w:hAnsi="Calibri" w:cs="Calibri"/>
                <w:color w:val="000000"/>
                <w:lang w:val="es-MX"/>
              </w:rPr>
              <w:t xml:space="preserve">Sólo dos bancos comerciales, de 7 inscritos, presentaron oferta. </w:t>
            </w:r>
            <w:r w:rsidRPr="003B0E50">
              <w:rPr>
                <w:rFonts w:ascii="Calibri" w:eastAsia="Times New Roman" w:hAnsi="Calibri" w:cs="Calibri"/>
                <w:color w:val="000000"/>
                <w:lang w:val="es-MX"/>
              </w:rPr>
              <w:t xml:space="preserve">De no haber participado Banobras probablemente se hubiera declarado desierta por las </w:t>
            </w:r>
            <w:r w:rsidRPr="003B0E50">
              <w:rPr>
                <w:rFonts w:ascii="Calibri" w:eastAsia="Times New Roman" w:hAnsi="Calibri" w:cs="Calibri"/>
                <w:color w:val="000000"/>
                <w:lang w:val="es-MX"/>
              </w:rPr>
              <w:lastRenderedPageBreak/>
              <w:t>altas sobretasas.</w:t>
            </w:r>
          </w:p>
        </w:tc>
        <w:tc>
          <w:tcPr>
            <w:tcW w:w="1202" w:type="dxa"/>
            <w:tcBorders>
              <w:top w:val="nil"/>
              <w:left w:val="nil"/>
              <w:bottom w:val="nil"/>
              <w:right w:val="nil"/>
            </w:tcBorders>
            <w:shd w:val="clear" w:color="auto" w:fill="auto"/>
            <w:vAlign w:val="center"/>
            <w:hideMark/>
          </w:tcPr>
          <w:p w14:paraId="40C660E4" w14:textId="3C3D99B8" w:rsidR="001D2DCB" w:rsidRPr="003B0E50" w:rsidRDefault="001D2DCB" w:rsidP="006515A3">
            <w:pPr>
              <w:spacing w:line="240" w:lineRule="auto"/>
              <w:jc w:val="center"/>
              <w:rPr>
                <w:rFonts w:ascii="Calibri" w:eastAsia="Times New Roman" w:hAnsi="Calibri" w:cs="Calibri"/>
                <w:color w:val="000000"/>
                <w:lang w:val="es-MX"/>
              </w:rPr>
            </w:pPr>
            <w:r w:rsidRPr="003B0E50">
              <w:rPr>
                <w:rFonts w:ascii="Calibri" w:eastAsia="Times New Roman" w:hAnsi="Calibri" w:cs="Calibri"/>
                <w:color w:val="000000"/>
                <w:lang w:val="es-MX"/>
              </w:rPr>
              <w:lastRenderedPageBreak/>
              <w:t>Asignado</w:t>
            </w:r>
            <w:r w:rsidR="00667DB5" w:rsidRPr="003B0E50">
              <w:rPr>
                <w:rFonts w:ascii="Calibri" w:eastAsia="Times New Roman" w:hAnsi="Calibri" w:cs="Calibri"/>
                <w:color w:val="000000"/>
                <w:lang w:val="es-MX"/>
              </w:rPr>
              <w:t>. Ocho ofertas en firme por parte de la banca comercial.</w:t>
            </w:r>
          </w:p>
        </w:tc>
      </w:tr>
    </w:tbl>
    <w:p w14:paraId="5B85FCB4" w14:textId="4DED53BF" w:rsidR="00A94169" w:rsidRPr="003B0E50" w:rsidRDefault="00A80693" w:rsidP="001D2DCB">
      <w:pPr>
        <w:spacing w:before="240" w:after="240"/>
        <w:ind w:left="360"/>
        <w:jc w:val="both"/>
        <w:rPr>
          <w:sz w:val="20"/>
          <w:szCs w:val="20"/>
        </w:rPr>
      </w:pPr>
      <w:r w:rsidRPr="003B0E50">
        <w:rPr>
          <w:sz w:val="20"/>
          <w:szCs w:val="20"/>
        </w:rPr>
        <w:t>Fuente: Secretaría de la Hacienda Pública de Jalisco con información pública.</w:t>
      </w:r>
    </w:p>
    <w:p w14:paraId="1F5E5A56" w14:textId="749D8F0E" w:rsidR="001D2DCB" w:rsidRPr="003B0E50" w:rsidRDefault="001D2DCB" w:rsidP="001D2DCB">
      <w:pPr>
        <w:spacing w:before="240" w:after="240"/>
        <w:ind w:left="360"/>
        <w:jc w:val="both"/>
        <w:rPr>
          <w:sz w:val="24"/>
          <w:szCs w:val="24"/>
        </w:rPr>
      </w:pPr>
      <w:r w:rsidRPr="003B0E50">
        <w:rPr>
          <w:sz w:val="24"/>
          <w:szCs w:val="24"/>
        </w:rPr>
        <w:t xml:space="preserve">·         Conforme a lo establecido en el decreto, en los actos de junta de aclaraciones y presentación de ofertas participó el Comité de Evaluación y Seguimiento (CES), a quien la </w:t>
      </w:r>
      <w:r w:rsidRPr="003B0E50">
        <w:rPr>
          <w:color w:val="000000"/>
          <w:sz w:val="24"/>
          <w:szCs w:val="24"/>
          <w:shd w:val="clear" w:color="auto" w:fill="FFFFFF"/>
        </w:rPr>
        <w:t>Comisión Interinstitucional para la Reactivación Económica</w:t>
      </w:r>
      <w:r w:rsidRPr="003B0E50" w:rsidDel="0013073A">
        <w:rPr>
          <w:sz w:val="24"/>
          <w:szCs w:val="24"/>
        </w:rPr>
        <w:t xml:space="preserve"> </w:t>
      </w:r>
      <w:r w:rsidRPr="003B0E50">
        <w:rPr>
          <w:sz w:val="24"/>
          <w:szCs w:val="24"/>
        </w:rPr>
        <w:t>designó para vigilar el proceso de asignación del crédito y el ejercicio de los recursos.</w:t>
      </w:r>
    </w:p>
    <w:p w14:paraId="02F294CC" w14:textId="4B38A2DF" w:rsidR="001D2DCB" w:rsidRPr="003B0E50" w:rsidRDefault="001D2DCB" w:rsidP="001D2DCB">
      <w:pPr>
        <w:spacing w:before="240" w:after="240"/>
        <w:ind w:left="360"/>
        <w:jc w:val="both"/>
        <w:rPr>
          <w:sz w:val="24"/>
          <w:szCs w:val="24"/>
        </w:rPr>
      </w:pPr>
      <w:r w:rsidRPr="003B0E50">
        <w:rPr>
          <w:sz w:val="24"/>
          <w:szCs w:val="24"/>
        </w:rPr>
        <w:t xml:space="preserve">·         Las ofertas de financiamiento no tienen penalización por prepago, y ningún tipo de comisiones o gastos adicionales lo que permitirá poder ajustar a la baja las tasas en caso y en el momento en que mejore la economía nacional. De hecho, fue posible obtener plazos de disposición que van de 6 a 12 meses, aspecto fundamental para poder ejecutar la inversión y reactivar la economía del Estado. </w:t>
      </w:r>
    </w:p>
    <w:p w14:paraId="122E24F7" w14:textId="09B2A8C3" w:rsidR="009F0679" w:rsidRPr="003B0E50" w:rsidRDefault="00AF23AC">
      <w:pPr>
        <w:spacing w:before="240" w:after="240"/>
        <w:ind w:left="360"/>
        <w:jc w:val="both"/>
        <w:rPr>
          <w:sz w:val="24"/>
          <w:szCs w:val="24"/>
        </w:rPr>
      </w:pPr>
      <w:r w:rsidRPr="003B0E50">
        <w:rPr>
          <w:sz w:val="24"/>
          <w:szCs w:val="24"/>
        </w:rPr>
        <w:t xml:space="preserve">·         La contratación de 6,200 </w:t>
      </w:r>
      <w:proofErr w:type="spellStart"/>
      <w:r w:rsidRPr="003B0E50">
        <w:rPr>
          <w:sz w:val="24"/>
          <w:szCs w:val="24"/>
        </w:rPr>
        <w:t>mdp</w:t>
      </w:r>
      <w:proofErr w:type="spellEnd"/>
      <w:r w:rsidRPr="003B0E50">
        <w:rPr>
          <w:sz w:val="24"/>
          <w:szCs w:val="24"/>
        </w:rPr>
        <w:t xml:space="preserve"> de financiamiento bajo el procedimiento flexible a plazos de 10, 15 y 20 años, permitirá una reducción en los intereses a pagar estimados a lo largo de la vida de los créditos de 1,267 </w:t>
      </w:r>
      <w:proofErr w:type="spellStart"/>
      <w:r w:rsidRPr="003B0E50">
        <w:rPr>
          <w:sz w:val="24"/>
          <w:szCs w:val="24"/>
        </w:rPr>
        <w:t>mdp</w:t>
      </w:r>
      <w:proofErr w:type="spellEnd"/>
      <w:r w:rsidRPr="003B0E50">
        <w:rPr>
          <w:sz w:val="24"/>
          <w:szCs w:val="24"/>
        </w:rPr>
        <w:t xml:space="preserve"> con respecto a lo que se pagaría si el monto total se hubiera asignado a 20 años, dotando de flexibilidad y sostenibilidad </w:t>
      </w:r>
      <w:r w:rsidR="009D7A4E" w:rsidRPr="003B0E50">
        <w:rPr>
          <w:sz w:val="24"/>
          <w:szCs w:val="24"/>
        </w:rPr>
        <w:t xml:space="preserve">a </w:t>
      </w:r>
      <w:r w:rsidRPr="003B0E50">
        <w:rPr>
          <w:sz w:val="24"/>
          <w:szCs w:val="24"/>
        </w:rPr>
        <w:t>las finanzas del Estado.</w:t>
      </w:r>
    </w:p>
    <w:p w14:paraId="4DD7563F" w14:textId="3C66779A" w:rsidR="009F0679" w:rsidRDefault="00AF23AC" w:rsidP="00310017">
      <w:pPr>
        <w:spacing w:before="240" w:after="240"/>
        <w:ind w:left="360"/>
        <w:jc w:val="both"/>
        <w:rPr>
          <w:sz w:val="24"/>
          <w:szCs w:val="24"/>
        </w:rPr>
      </w:pPr>
      <w:r w:rsidRPr="003B0E50">
        <w:rPr>
          <w:sz w:val="24"/>
          <w:szCs w:val="24"/>
        </w:rPr>
        <w:t>·      Se espera poder ejercer el crédito a partir de la última semana de este mes de julio, una vez firmados los contratos con las instituciones de crédito y registrada la transacción en el Registro Púb</w:t>
      </w:r>
      <w:r w:rsidR="00310017" w:rsidRPr="003B0E50">
        <w:rPr>
          <w:sz w:val="24"/>
          <w:szCs w:val="24"/>
        </w:rPr>
        <w:t>lico Único de deuda de la SHCP.</w:t>
      </w:r>
    </w:p>
    <w:p w14:paraId="554153A0" w14:textId="4DB92F90" w:rsidR="009F0679" w:rsidRPr="00310017" w:rsidRDefault="00AF23AC" w:rsidP="00310017">
      <w:pPr>
        <w:spacing w:before="240" w:after="240"/>
        <w:jc w:val="both"/>
        <w:rPr>
          <w:sz w:val="24"/>
          <w:szCs w:val="24"/>
        </w:rPr>
      </w:pPr>
      <w:r>
        <w:rPr>
          <w:sz w:val="24"/>
          <w:szCs w:val="24"/>
        </w:rPr>
        <w:t xml:space="preserve"> </w:t>
      </w:r>
    </w:p>
    <w:sectPr w:rsidR="009F0679" w:rsidRPr="0031001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79"/>
    <w:rsid w:val="0013073A"/>
    <w:rsid w:val="00167270"/>
    <w:rsid w:val="001947FD"/>
    <w:rsid w:val="001D2DCB"/>
    <w:rsid w:val="00310017"/>
    <w:rsid w:val="003B0E50"/>
    <w:rsid w:val="00425E77"/>
    <w:rsid w:val="0065648A"/>
    <w:rsid w:val="00667DB5"/>
    <w:rsid w:val="00756F97"/>
    <w:rsid w:val="007C524C"/>
    <w:rsid w:val="008B51F8"/>
    <w:rsid w:val="008B702B"/>
    <w:rsid w:val="009D7A4E"/>
    <w:rsid w:val="009E7292"/>
    <w:rsid w:val="009F0679"/>
    <w:rsid w:val="00A80693"/>
    <w:rsid w:val="00A94169"/>
    <w:rsid w:val="00AD418B"/>
    <w:rsid w:val="00AF23AC"/>
    <w:rsid w:val="00D2693B"/>
    <w:rsid w:val="00D556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F626"/>
  <w15:docId w15:val="{B483B6FA-25EB-4AAF-96C8-9FD27247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C52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6882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1045</Words>
  <Characters>5957</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Partida Morales</dc:creator>
  <cp:lastModifiedBy>Ana Maria Petersen</cp:lastModifiedBy>
  <cp:revision>3</cp:revision>
  <dcterms:created xsi:type="dcterms:W3CDTF">2020-07-20T00:05:00Z</dcterms:created>
  <dcterms:modified xsi:type="dcterms:W3CDTF">2020-07-21T18:57:00Z</dcterms:modified>
</cp:coreProperties>
</file>