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EC" w:rsidRDefault="000918EC" w:rsidP="00B43384">
      <w:pPr>
        <w:pStyle w:val="Textoindependiente"/>
        <w:spacing w:before="9"/>
        <w:rPr>
          <w:rFonts w:ascii="Times New Roman"/>
          <w:sz w:val="2"/>
        </w:rPr>
      </w:pPr>
      <w:bookmarkStart w:id="0" w:name="_GoBack"/>
      <w:bookmarkEnd w:id="0"/>
      <w:r>
        <w:rPr>
          <w:noProof/>
          <w:lang w:val="es-MX" w:eastAsia="es-MX" w:bidi="ar-SA"/>
        </w:rPr>
        <w:drawing>
          <wp:anchor distT="0" distB="0" distL="0" distR="0" simplePos="0" relativeHeight="251659264" behindDoc="0" locked="0" layoutInCell="1" allowOverlap="1" wp14:anchorId="4C6F98B9" wp14:editId="7042BC96">
            <wp:simplePos x="0" y="0"/>
            <wp:positionH relativeFrom="page">
              <wp:posOffset>4710684</wp:posOffset>
            </wp:positionH>
            <wp:positionV relativeFrom="page">
              <wp:posOffset>537972</wp:posOffset>
            </wp:positionV>
            <wp:extent cx="2104643" cy="42062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104643" cy="420624"/>
                    </a:xfrm>
                    <a:prstGeom prst="rect">
                      <a:avLst/>
                    </a:prstGeom>
                  </pic:spPr>
                </pic:pic>
              </a:graphicData>
            </a:graphic>
          </wp:anchor>
        </w:drawing>
      </w:r>
    </w:p>
    <w:p w:rsidR="001B366B" w:rsidRDefault="001B366B" w:rsidP="001B366B">
      <w:pPr>
        <w:jc w:val="both"/>
        <w:rPr>
          <w:b/>
          <w:sz w:val="24"/>
        </w:rPr>
      </w:pPr>
      <w:r w:rsidRPr="00B55179">
        <w:rPr>
          <w:b/>
          <w:sz w:val="24"/>
        </w:rPr>
        <w:t>Antecedentes</w:t>
      </w:r>
    </w:p>
    <w:p w:rsidR="001B366B" w:rsidRDefault="001B366B" w:rsidP="001B366B">
      <w:pPr>
        <w:jc w:val="both"/>
        <w:rPr>
          <w:sz w:val="24"/>
        </w:rPr>
      </w:pPr>
      <w:r>
        <w:rPr>
          <w:sz w:val="24"/>
        </w:rPr>
        <w:t xml:space="preserve">Al inicio de la pandemia del Covid-19, se estimó un impacto sobre las finanzas públicas de Jalisco en dos vertientes. Por un lado, se </w:t>
      </w:r>
      <w:r w:rsidR="003073DB">
        <w:rPr>
          <w:sz w:val="24"/>
        </w:rPr>
        <w:t>calcul</w:t>
      </w:r>
      <w:r>
        <w:rPr>
          <w:sz w:val="24"/>
        </w:rPr>
        <w:t xml:space="preserve">ó una caída en los ingresos totales de 2,080 </w:t>
      </w:r>
      <w:proofErr w:type="spellStart"/>
      <w:r>
        <w:rPr>
          <w:sz w:val="24"/>
        </w:rPr>
        <w:t>mdp</w:t>
      </w:r>
      <w:proofErr w:type="spellEnd"/>
      <w:r>
        <w:rPr>
          <w:sz w:val="24"/>
        </w:rPr>
        <w:t>, (1,260</w:t>
      </w:r>
      <w:r w:rsidR="00A94595">
        <w:rPr>
          <w:sz w:val="24"/>
        </w:rPr>
        <w:t xml:space="preserve"> </w:t>
      </w:r>
      <w:proofErr w:type="spellStart"/>
      <w:r w:rsidR="00A94595">
        <w:rPr>
          <w:sz w:val="24"/>
        </w:rPr>
        <w:t>mdp</w:t>
      </w:r>
      <w:proofErr w:type="spellEnd"/>
      <w:r w:rsidR="00A94595">
        <w:rPr>
          <w:sz w:val="24"/>
        </w:rPr>
        <w:t xml:space="preserve"> en ingresos propios, y 820</w:t>
      </w:r>
      <w:r>
        <w:rPr>
          <w:sz w:val="24"/>
        </w:rPr>
        <w:t xml:space="preserve"> </w:t>
      </w:r>
      <w:proofErr w:type="spellStart"/>
      <w:r>
        <w:rPr>
          <w:sz w:val="24"/>
        </w:rPr>
        <w:t>mdp</w:t>
      </w:r>
      <w:proofErr w:type="spellEnd"/>
      <w:r>
        <w:rPr>
          <w:sz w:val="24"/>
        </w:rPr>
        <w:t xml:space="preserve"> en ingresos por convenios federales), resultado de la desaceleración económica esperada y de la incapacidad de recaudar normalmente durante los meses en que ha habido restricción a la movilidad.</w:t>
      </w:r>
    </w:p>
    <w:p w:rsidR="001B366B" w:rsidRDefault="001B366B" w:rsidP="001B366B">
      <w:pPr>
        <w:jc w:val="both"/>
        <w:rPr>
          <w:sz w:val="24"/>
        </w:rPr>
      </w:pPr>
    </w:p>
    <w:p w:rsidR="001B366B" w:rsidRDefault="001B366B" w:rsidP="001B366B">
      <w:pPr>
        <w:jc w:val="both"/>
        <w:rPr>
          <w:sz w:val="24"/>
        </w:rPr>
      </w:pPr>
      <w:r>
        <w:rPr>
          <w:sz w:val="24"/>
        </w:rPr>
        <w:t xml:space="preserve">Por otro lado, se hizo necesario aumentar el gasto para atender la pandemia, tanto para fortalecer al sector salud, como para apoyar a personas físicas y morales con el fin de evitar la pérdida de empleos, en una primera instancia, y para fomentar la reactivación económica, en una segunda etapa.  Con estos objetivos, se calculó una necesidad de realizar gastos por 3,520 </w:t>
      </w:r>
      <w:proofErr w:type="spellStart"/>
      <w:r>
        <w:rPr>
          <w:sz w:val="24"/>
        </w:rPr>
        <w:t>mdp</w:t>
      </w:r>
      <w:proofErr w:type="spellEnd"/>
      <w:r>
        <w:rPr>
          <w:sz w:val="24"/>
        </w:rPr>
        <w:t xml:space="preserve"> durante todo el 2020. </w:t>
      </w:r>
    </w:p>
    <w:p w:rsidR="001B366B" w:rsidRDefault="001B366B" w:rsidP="001B366B">
      <w:pPr>
        <w:jc w:val="both"/>
        <w:rPr>
          <w:sz w:val="24"/>
        </w:rPr>
      </w:pPr>
    </w:p>
    <w:p w:rsidR="001B366B" w:rsidRDefault="001B366B" w:rsidP="001B366B">
      <w:pPr>
        <w:jc w:val="both"/>
        <w:rPr>
          <w:sz w:val="24"/>
        </w:rPr>
      </w:pPr>
      <w:r>
        <w:rPr>
          <w:sz w:val="24"/>
        </w:rPr>
        <w:t xml:space="preserve">En total, se determinó un desequilibrio en las finanzas por 5,600 </w:t>
      </w:r>
      <w:proofErr w:type="spellStart"/>
      <w:r>
        <w:rPr>
          <w:sz w:val="24"/>
        </w:rPr>
        <w:t>mdp</w:t>
      </w:r>
      <w:proofErr w:type="spellEnd"/>
      <w:r>
        <w:rPr>
          <w:sz w:val="24"/>
        </w:rPr>
        <w:t>. Para reequilibrar las</w:t>
      </w:r>
      <w:r w:rsidR="00273978">
        <w:rPr>
          <w:sz w:val="24"/>
        </w:rPr>
        <w:t xml:space="preserve"> finanzas, el </w:t>
      </w:r>
      <w:r>
        <w:rPr>
          <w:sz w:val="24"/>
        </w:rPr>
        <w:t>Comité Interinstitucional de Reactivación Económica</w:t>
      </w:r>
      <w:r w:rsidR="00273978">
        <w:rPr>
          <w:sz w:val="24"/>
        </w:rPr>
        <w:t xml:space="preserve"> propuso</w:t>
      </w:r>
      <w:r>
        <w:rPr>
          <w:sz w:val="24"/>
        </w:rPr>
        <w:t xml:space="preserve"> la realización de un programa de austeridad para reducir el gasto del gobierno por 2,000 </w:t>
      </w:r>
      <w:proofErr w:type="spellStart"/>
      <w:r>
        <w:rPr>
          <w:sz w:val="24"/>
        </w:rPr>
        <w:t>mdp</w:t>
      </w:r>
      <w:proofErr w:type="spellEnd"/>
      <w:r>
        <w:rPr>
          <w:sz w:val="24"/>
        </w:rPr>
        <w:t xml:space="preserve">, y una reducción en el programa de obra pública por 3,600 </w:t>
      </w:r>
      <w:proofErr w:type="spellStart"/>
      <w:r>
        <w:rPr>
          <w:sz w:val="24"/>
        </w:rPr>
        <w:t>mdp</w:t>
      </w:r>
      <w:proofErr w:type="spellEnd"/>
      <w:r>
        <w:rPr>
          <w:sz w:val="24"/>
        </w:rPr>
        <w:t>. Esta propuesta fue llevada al Congreso del Estado para su aprobación, misma que se dio el 23 de mayo del 2020.</w:t>
      </w:r>
    </w:p>
    <w:p w:rsidR="001B366B" w:rsidRDefault="001B366B" w:rsidP="001B366B">
      <w:pPr>
        <w:jc w:val="both"/>
        <w:rPr>
          <w:sz w:val="24"/>
        </w:rPr>
      </w:pPr>
    </w:p>
    <w:p w:rsidR="001B366B" w:rsidRPr="001B366B" w:rsidRDefault="001B366B" w:rsidP="001B366B">
      <w:pPr>
        <w:jc w:val="both"/>
        <w:rPr>
          <w:sz w:val="24"/>
        </w:rPr>
      </w:pPr>
      <w:r>
        <w:rPr>
          <w:sz w:val="24"/>
        </w:rPr>
        <w:t xml:space="preserve">Adicionalmente, </w:t>
      </w:r>
      <w:r w:rsidR="00273978">
        <w:rPr>
          <w:sz w:val="24"/>
        </w:rPr>
        <w:t xml:space="preserve">el </w:t>
      </w:r>
      <w:r>
        <w:rPr>
          <w:sz w:val="24"/>
        </w:rPr>
        <w:t xml:space="preserve">Comité </w:t>
      </w:r>
      <w:r w:rsidR="00273978">
        <w:rPr>
          <w:sz w:val="24"/>
        </w:rPr>
        <w:t xml:space="preserve">propuso </w:t>
      </w:r>
      <w:r>
        <w:rPr>
          <w:sz w:val="24"/>
        </w:rPr>
        <w:t xml:space="preserve">el solicitar por parte del Estado un crédito con la banca por 6,200 </w:t>
      </w:r>
      <w:proofErr w:type="spellStart"/>
      <w:r>
        <w:rPr>
          <w:sz w:val="24"/>
        </w:rPr>
        <w:t>mdp</w:t>
      </w:r>
      <w:proofErr w:type="spellEnd"/>
      <w:r>
        <w:rPr>
          <w:sz w:val="24"/>
        </w:rPr>
        <w:t xml:space="preserve">, para recuperar las obras por 3,600 </w:t>
      </w:r>
      <w:proofErr w:type="spellStart"/>
      <w:r>
        <w:rPr>
          <w:sz w:val="24"/>
        </w:rPr>
        <w:t>mdp</w:t>
      </w:r>
      <w:proofErr w:type="spellEnd"/>
      <w:r>
        <w:rPr>
          <w:sz w:val="24"/>
        </w:rPr>
        <w:t xml:space="preserve"> que se habían reducido para llevar a cabo el reequilibrio financiero. Además, se solicitó fortalecer el programa anual de obra por un monto de 2,600 </w:t>
      </w:r>
      <w:proofErr w:type="spellStart"/>
      <w:r>
        <w:rPr>
          <w:sz w:val="24"/>
        </w:rPr>
        <w:t>mdp</w:t>
      </w:r>
      <w:proofErr w:type="spellEnd"/>
      <w:r>
        <w:rPr>
          <w:sz w:val="24"/>
        </w:rPr>
        <w:t xml:space="preserve"> durante 2020, </w:t>
      </w:r>
      <w:r w:rsidR="00BD34F5">
        <w:rPr>
          <w:sz w:val="24"/>
        </w:rPr>
        <w:t>para</w:t>
      </w:r>
      <w:r>
        <w:rPr>
          <w:sz w:val="24"/>
        </w:rPr>
        <w:t xml:space="preserve"> fomentar la reactivación económica. </w:t>
      </w:r>
      <w:r w:rsidR="00BD34F5">
        <w:rPr>
          <w:sz w:val="24"/>
        </w:rPr>
        <w:t>La autorización para contratar la deuda también se otorgó</w:t>
      </w:r>
      <w:r w:rsidR="00F169A1">
        <w:rPr>
          <w:sz w:val="24"/>
        </w:rPr>
        <w:t xml:space="preserve"> por parte del Congreso</w:t>
      </w:r>
      <w:r w:rsidR="00BD34F5">
        <w:rPr>
          <w:sz w:val="24"/>
        </w:rPr>
        <w:t xml:space="preserve"> el 23 de mayo de este año.</w:t>
      </w:r>
    </w:p>
    <w:p w:rsidR="001B366B" w:rsidRDefault="001B366B" w:rsidP="004A11FE">
      <w:pPr>
        <w:pStyle w:val="Ttulo1"/>
        <w:spacing w:before="44" w:line="259" w:lineRule="auto"/>
        <w:ind w:left="0" w:right="48"/>
        <w:jc w:val="center"/>
        <w:rPr>
          <w:sz w:val="32"/>
        </w:rPr>
      </w:pPr>
    </w:p>
    <w:p w:rsidR="00B27E4B" w:rsidRPr="003073DB" w:rsidRDefault="00612A98" w:rsidP="003073DB">
      <w:pPr>
        <w:pStyle w:val="Ttulo1"/>
        <w:spacing w:before="44" w:line="259" w:lineRule="auto"/>
        <w:ind w:left="0" w:right="48"/>
        <w:jc w:val="center"/>
      </w:pPr>
      <w:r w:rsidRPr="003073DB">
        <w:t xml:space="preserve">Resumen Asignaciones </w:t>
      </w:r>
      <w:r w:rsidR="00082E6C" w:rsidRPr="003073DB">
        <w:t>COVID-19</w:t>
      </w:r>
      <w:r w:rsidR="00B27E4B" w:rsidRPr="003073DB">
        <w:t xml:space="preserve"> al 31 de mayo </w:t>
      </w:r>
    </w:p>
    <w:tbl>
      <w:tblPr>
        <w:tblW w:w="8238" w:type="dxa"/>
        <w:tblCellMar>
          <w:left w:w="70" w:type="dxa"/>
          <w:right w:w="70" w:type="dxa"/>
        </w:tblCellMar>
        <w:tblLook w:val="04A0" w:firstRow="1" w:lastRow="0" w:firstColumn="1" w:lastColumn="0" w:noHBand="0" w:noVBand="1"/>
      </w:tblPr>
      <w:tblGrid>
        <w:gridCol w:w="3390"/>
        <w:gridCol w:w="1793"/>
        <w:gridCol w:w="1991"/>
        <w:gridCol w:w="1064"/>
      </w:tblGrid>
      <w:tr w:rsidR="00B27E4B" w:rsidRPr="00B27E4B" w:rsidTr="00F912AB">
        <w:trPr>
          <w:trHeight w:val="494"/>
        </w:trPr>
        <w:tc>
          <w:tcPr>
            <w:tcW w:w="339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27E4B" w:rsidRPr="00B27E4B" w:rsidRDefault="00B27E4B" w:rsidP="00B27E4B">
            <w:pPr>
              <w:widowControl/>
              <w:autoSpaceDE/>
              <w:autoSpaceDN/>
              <w:jc w:val="center"/>
              <w:rPr>
                <w:rFonts w:eastAsia="Times New Roman"/>
                <w:b/>
                <w:bCs/>
                <w:color w:val="000000"/>
                <w:lang w:val="es-MX" w:eastAsia="es-MX" w:bidi="ar-SA"/>
              </w:rPr>
            </w:pPr>
            <w:r w:rsidRPr="00B27E4B">
              <w:rPr>
                <w:rFonts w:eastAsia="Times New Roman"/>
                <w:b/>
                <w:bCs/>
                <w:color w:val="000000"/>
                <w:lang w:val="es-MX" w:eastAsia="es-MX" w:bidi="ar-SA"/>
              </w:rPr>
              <w:t xml:space="preserve">Tipo de Programa </w:t>
            </w:r>
          </w:p>
        </w:tc>
        <w:tc>
          <w:tcPr>
            <w:tcW w:w="1793" w:type="dxa"/>
            <w:tcBorders>
              <w:top w:val="single" w:sz="4" w:space="0" w:color="auto"/>
              <w:left w:val="nil"/>
              <w:bottom w:val="single" w:sz="4" w:space="0" w:color="auto"/>
              <w:right w:val="single" w:sz="4" w:space="0" w:color="auto"/>
            </w:tcBorders>
            <w:shd w:val="clear" w:color="000000" w:fill="F2F2F2"/>
            <w:vAlign w:val="center"/>
            <w:hideMark/>
          </w:tcPr>
          <w:p w:rsidR="00B27E4B" w:rsidRPr="00B27E4B" w:rsidRDefault="00B27E4B" w:rsidP="00B27E4B">
            <w:pPr>
              <w:widowControl/>
              <w:autoSpaceDE/>
              <w:autoSpaceDN/>
              <w:jc w:val="center"/>
              <w:rPr>
                <w:rFonts w:eastAsia="Times New Roman"/>
                <w:b/>
                <w:bCs/>
                <w:color w:val="000000"/>
                <w:lang w:val="es-MX" w:eastAsia="es-MX" w:bidi="ar-SA"/>
              </w:rPr>
            </w:pPr>
            <w:r w:rsidRPr="00B27E4B">
              <w:rPr>
                <w:rFonts w:eastAsia="Times New Roman"/>
                <w:b/>
                <w:bCs/>
                <w:color w:val="000000"/>
                <w:lang w:val="es-MX" w:eastAsia="es-MX" w:bidi="ar-SA"/>
              </w:rPr>
              <w:t>Asignación</w:t>
            </w:r>
          </w:p>
        </w:tc>
        <w:tc>
          <w:tcPr>
            <w:tcW w:w="1991" w:type="dxa"/>
            <w:tcBorders>
              <w:top w:val="single" w:sz="4" w:space="0" w:color="auto"/>
              <w:left w:val="nil"/>
              <w:bottom w:val="single" w:sz="4" w:space="0" w:color="auto"/>
              <w:right w:val="single" w:sz="4" w:space="0" w:color="auto"/>
            </w:tcBorders>
            <w:shd w:val="clear" w:color="000000" w:fill="F2F2F2"/>
            <w:vAlign w:val="center"/>
            <w:hideMark/>
          </w:tcPr>
          <w:p w:rsidR="00B27E4B" w:rsidRPr="00B27E4B" w:rsidRDefault="00B27E4B" w:rsidP="00B27E4B">
            <w:pPr>
              <w:widowControl/>
              <w:autoSpaceDE/>
              <w:autoSpaceDN/>
              <w:jc w:val="center"/>
              <w:rPr>
                <w:rFonts w:eastAsia="Times New Roman"/>
                <w:b/>
                <w:bCs/>
                <w:color w:val="000000"/>
                <w:lang w:val="es-MX" w:eastAsia="es-MX" w:bidi="ar-SA"/>
              </w:rPr>
            </w:pPr>
            <w:r w:rsidRPr="00B27E4B">
              <w:rPr>
                <w:rFonts w:eastAsia="Times New Roman"/>
                <w:b/>
                <w:bCs/>
                <w:color w:val="000000"/>
                <w:lang w:val="es-MX" w:eastAsia="es-MX" w:bidi="ar-SA"/>
              </w:rPr>
              <w:t xml:space="preserve">Ejercido al 31 de mayo </w:t>
            </w:r>
          </w:p>
        </w:tc>
        <w:tc>
          <w:tcPr>
            <w:tcW w:w="1064" w:type="dxa"/>
            <w:tcBorders>
              <w:top w:val="single" w:sz="4" w:space="0" w:color="auto"/>
              <w:left w:val="nil"/>
              <w:bottom w:val="single" w:sz="4" w:space="0" w:color="auto"/>
              <w:right w:val="single" w:sz="4" w:space="0" w:color="auto"/>
            </w:tcBorders>
            <w:shd w:val="clear" w:color="000000" w:fill="F2F2F2"/>
            <w:vAlign w:val="center"/>
            <w:hideMark/>
          </w:tcPr>
          <w:p w:rsidR="00B27E4B" w:rsidRPr="00B27E4B" w:rsidRDefault="00B27E4B" w:rsidP="00B27E4B">
            <w:pPr>
              <w:widowControl/>
              <w:autoSpaceDE/>
              <w:autoSpaceDN/>
              <w:jc w:val="center"/>
              <w:rPr>
                <w:rFonts w:eastAsia="Times New Roman"/>
                <w:b/>
                <w:bCs/>
                <w:color w:val="000000"/>
                <w:lang w:val="es-MX" w:eastAsia="es-MX" w:bidi="ar-SA"/>
              </w:rPr>
            </w:pPr>
            <w:r w:rsidRPr="00B27E4B">
              <w:rPr>
                <w:rFonts w:eastAsia="Times New Roman"/>
                <w:b/>
                <w:bCs/>
                <w:color w:val="000000"/>
                <w:lang w:val="es-MX" w:eastAsia="es-MX" w:bidi="ar-SA"/>
              </w:rPr>
              <w:t xml:space="preserve">% Avance </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xml:space="preserve">Economía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1,786.37</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797.93</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44.7%</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F169A1" w:rsidP="00F169A1">
            <w:pPr>
              <w:widowControl/>
              <w:autoSpaceDE/>
              <w:autoSpaceDN/>
              <w:rPr>
                <w:rFonts w:eastAsia="Times New Roman"/>
                <w:color w:val="000000"/>
                <w:lang w:val="es-MX" w:eastAsia="es-MX" w:bidi="ar-SA"/>
              </w:rPr>
            </w:pPr>
            <w:r>
              <w:rPr>
                <w:rFonts w:eastAsia="Times New Roman"/>
                <w:color w:val="000000"/>
                <w:lang w:val="es-MX" w:eastAsia="es-MX" w:bidi="ar-SA"/>
              </w:rPr>
              <w:t>Programas de apoyo a</w:t>
            </w:r>
            <w:r w:rsidR="00B27E4B" w:rsidRPr="00B27E4B">
              <w:rPr>
                <w:rFonts w:eastAsia="Times New Roman"/>
                <w:color w:val="000000"/>
                <w:lang w:val="es-MX" w:eastAsia="es-MX" w:bidi="ar-SA"/>
              </w:rPr>
              <w:t>liment</w:t>
            </w:r>
            <w:r>
              <w:rPr>
                <w:rFonts w:eastAsia="Times New Roman"/>
                <w:color w:val="000000"/>
                <w:lang w:val="es-MX" w:eastAsia="es-MX" w:bidi="ar-SA"/>
              </w:rPr>
              <w:t>ario</w:t>
            </w:r>
            <w:r w:rsidR="00B27E4B" w:rsidRPr="00B27E4B">
              <w:rPr>
                <w:rFonts w:eastAsia="Times New Roman"/>
                <w:color w:val="000000"/>
                <w:lang w:val="es-MX" w:eastAsia="es-MX" w:bidi="ar-SA"/>
              </w:rPr>
              <w:t xml:space="preserve">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29.36</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1.46</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5.0%</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Comunicación</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26.77</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0.00</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0.0%</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xml:space="preserve">CEA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17.62</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6.93</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39.3%</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b/>
                <w:bCs/>
                <w:color w:val="000000"/>
                <w:lang w:val="es-MX" w:eastAsia="es-MX" w:bidi="ar-SA"/>
              </w:rPr>
            </w:pPr>
            <w:r w:rsidRPr="00B27E4B">
              <w:rPr>
                <w:rFonts w:eastAsia="Times New Roman"/>
                <w:b/>
                <w:bCs/>
                <w:color w:val="000000"/>
                <w:lang w:val="es-MX" w:eastAsia="es-MX" w:bidi="ar-SA"/>
              </w:rPr>
              <w:t xml:space="preserve">Sub total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1,860.13</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806.32</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43.3%</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Insumos de salud para dependencias</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91.97</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18.17</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19.8%</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color w:val="000000"/>
                <w:lang w:val="es-MX" w:eastAsia="es-MX" w:bidi="ar-SA"/>
              </w:rPr>
            </w:pPr>
            <w:r w:rsidRPr="00B27E4B">
              <w:rPr>
                <w:rFonts w:eastAsia="Times New Roman"/>
                <w:color w:val="000000"/>
                <w:lang w:val="es-MX" w:eastAsia="es-MX" w:bidi="ar-SA"/>
              </w:rPr>
              <w:t xml:space="preserve">Salud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1,567.91</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548.96</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color w:val="000000"/>
                <w:lang w:val="es-MX" w:eastAsia="es-MX" w:bidi="ar-SA"/>
              </w:rPr>
            </w:pPr>
            <w:r w:rsidRPr="00B27E4B">
              <w:rPr>
                <w:rFonts w:eastAsia="Times New Roman"/>
                <w:color w:val="000000"/>
                <w:lang w:val="es-MX" w:eastAsia="es-MX" w:bidi="ar-SA"/>
              </w:rPr>
              <w:t>35.0%</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rPr>
                <w:rFonts w:eastAsia="Times New Roman"/>
                <w:b/>
                <w:bCs/>
                <w:color w:val="000000"/>
                <w:lang w:val="es-MX" w:eastAsia="es-MX" w:bidi="ar-SA"/>
              </w:rPr>
            </w:pPr>
            <w:r w:rsidRPr="00B27E4B">
              <w:rPr>
                <w:rFonts w:eastAsia="Times New Roman"/>
                <w:b/>
                <w:bCs/>
                <w:color w:val="000000"/>
                <w:lang w:val="es-MX" w:eastAsia="es-MX" w:bidi="ar-SA"/>
              </w:rPr>
              <w:t xml:space="preserve">Sub total </w:t>
            </w:r>
          </w:p>
        </w:tc>
        <w:tc>
          <w:tcPr>
            <w:tcW w:w="1793"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1,659.87</w:t>
            </w:r>
          </w:p>
        </w:tc>
        <w:tc>
          <w:tcPr>
            <w:tcW w:w="1991"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567.13</w:t>
            </w:r>
          </w:p>
        </w:tc>
        <w:tc>
          <w:tcPr>
            <w:tcW w:w="1064" w:type="dxa"/>
            <w:tcBorders>
              <w:top w:val="nil"/>
              <w:left w:val="nil"/>
              <w:bottom w:val="single" w:sz="4" w:space="0" w:color="auto"/>
              <w:right w:val="single" w:sz="4" w:space="0" w:color="auto"/>
            </w:tcBorders>
            <w:shd w:val="clear" w:color="auto" w:fill="auto"/>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34.2%</w:t>
            </w:r>
          </w:p>
        </w:tc>
      </w:tr>
      <w:tr w:rsidR="00B27E4B" w:rsidRPr="00B27E4B" w:rsidTr="00F912AB">
        <w:trPr>
          <w:trHeight w:val="247"/>
        </w:trPr>
        <w:tc>
          <w:tcPr>
            <w:tcW w:w="3390" w:type="dxa"/>
            <w:tcBorders>
              <w:top w:val="nil"/>
              <w:left w:val="single" w:sz="4" w:space="0" w:color="auto"/>
              <w:bottom w:val="single" w:sz="4" w:space="0" w:color="auto"/>
              <w:right w:val="single" w:sz="4" w:space="0" w:color="auto"/>
            </w:tcBorders>
            <w:shd w:val="clear" w:color="000000" w:fill="F2F2F2"/>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Total</w:t>
            </w:r>
          </w:p>
        </w:tc>
        <w:tc>
          <w:tcPr>
            <w:tcW w:w="1793" w:type="dxa"/>
            <w:tcBorders>
              <w:top w:val="nil"/>
              <w:left w:val="nil"/>
              <w:bottom w:val="single" w:sz="4" w:space="0" w:color="auto"/>
              <w:right w:val="single" w:sz="4" w:space="0" w:color="auto"/>
            </w:tcBorders>
            <w:shd w:val="clear" w:color="000000" w:fill="F2F2F2"/>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3,520.00</w:t>
            </w:r>
          </w:p>
        </w:tc>
        <w:tc>
          <w:tcPr>
            <w:tcW w:w="1991" w:type="dxa"/>
            <w:tcBorders>
              <w:top w:val="nil"/>
              <w:left w:val="nil"/>
              <w:bottom w:val="single" w:sz="4" w:space="0" w:color="auto"/>
              <w:right w:val="single" w:sz="4" w:space="0" w:color="auto"/>
            </w:tcBorders>
            <w:shd w:val="clear" w:color="000000" w:fill="F2F2F2"/>
            <w:noWrap/>
            <w:vAlign w:val="bottom"/>
            <w:hideMark/>
          </w:tcPr>
          <w:p w:rsidR="00B27E4B" w:rsidRPr="00B27E4B" w:rsidRDefault="00B27E4B" w:rsidP="00B27E4B">
            <w:pPr>
              <w:widowControl/>
              <w:autoSpaceDE/>
              <w:autoSpaceDN/>
              <w:ind w:left="720"/>
              <w:contextualSpacing/>
              <w:jc w:val="right"/>
              <w:rPr>
                <w:rFonts w:eastAsia="Times New Roman"/>
                <w:b/>
                <w:bCs/>
                <w:color w:val="000000"/>
                <w:lang w:val="es-MX" w:eastAsia="es-MX" w:bidi="ar-SA"/>
              </w:rPr>
            </w:pPr>
            <w:r>
              <w:rPr>
                <w:rFonts w:eastAsia="Times New Roman"/>
                <w:b/>
                <w:bCs/>
                <w:color w:val="000000"/>
                <w:lang w:val="es-MX" w:eastAsia="es-MX" w:bidi="ar-SA"/>
              </w:rPr>
              <w:t xml:space="preserve">1,373.45 </w:t>
            </w:r>
          </w:p>
        </w:tc>
        <w:tc>
          <w:tcPr>
            <w:tcW w:w="1064" w:type="dxa"/>
            <w:tcBorders>
              <w:top w:val="nil"/>
              <w:left w:val="nil"/>
              <w:bottom w:val="single" w:sz="4" w:space="0" w:color="auto"/>
              <w:right w:val="single" w:sz="4" w:space="0" w:color="auto"/>
            </w:tcBorders>
            <w:shd w:val="clear" w:color="000000" w:fill="F2F2F2"/>
            <w:noWrap/>
            <w:vAlign w:val="bottom"/>
            <w:hideMark/>
          </w:tcPr>
          <w:p w:rsidR="00B27E4B" w:rsidRPr="00B27E4B" w:rsidRDefault="00B27E4B" w:rsidP="00B27E4B">
            <w:pPr>
              <w:widowControl/>
              <w:autoSpaceDE/>
              <w:autoSpaceDN/>
              <w:jc w:val="right"/>
              <w:rPr>
                <w:rFonts w:eastAsia="Times New Roman"/>
                <w:b/>
                <w:bCs/>
                <w:color w:val="000000"/>
                <w:lang w:val="es-MX" w:eastAsia="es-MX" w:bidi="ar-SA"/>
              </w:rPr>
            </w:pPr>
            <w:r w:rsidRPr="00B27E4B">
              <w:rPr>
                <w:rFonts w:eastAsia="Times New Roman"/>
                <w:b/>
                <w:bCs/>
                <w:color w:val="000000"/>
                <w:lang w:val="es-MX" w:eastAsia="es-MX" w:bidi="ar-SA"/>
              </w:rPr>
              <w:t>39.0%</w:t>
            </w:r>
          </w:p>
        </w:tc>
      </w:tr>
    </w:tbl>
    <w:p w:rsidR="00621016" w:rsidRPr="003073DB" w:rsidRDefault="003073DB" w:rsidP="00A52E53">
      <w:pPr>
        <w:rPr>
          <w:sz w:val="20"/>
          <w:szCs w:val="20"/>
        </w:rPr>
      </w:pPr>
      <w:r w:rsidRPr="003073DB">
        <w:rPr>
          <w:sz w:val="20"/>
          <w:szCs w:val="20"/>
        </w:rPr>
        <w:t>Millones de pesos</w:t>
      </w:r>
    </w:p>
    <w:p w:rsidR="003073DB" w:rsidRDefault="003073DB" w:rsidP="001B366B">
      <w:pPr>
        <w:jc w:val="both"/>
        <w:rPr>
          <w:sz w:val="24"/>
        </w:rPr>
      </w:pPr>
    </w:p>
    <w:p w:rsidR="00F912AB" w:rsidRDefault="00B27E4B" w:rsidP="001B366B">
      <w:pPr>
        <w:jc w:val="both"/>
        <w:rPr>
          <w:sz w:val="24"/>
        </w:rPr>
      </w:pPr>
      <w:r>
        <w:rPr>
          <w:sz w:val="24"/>
        </w:rPr>
        <w:lastRenderedPageBreak/>
        <w:t>La asignación aut</w:t>
      </w:r>
      <w:r w:rsidR="001B366B">
        <w:rPr>
          <w:sz w:val="24"/>
        </w:rPr>
        <w:t xml:space="preserve">orizada por 3,520 </w:t>
      </w:r>
      <w:proofErr w:type="spellStart"/>
      <w:r w:rsidR="001B366B">
        <w:rPr>
          <w:sz w:val="24"/>
        </w:rPr>
        <w:t>mdp</w:t>
      </w:r>
      <w:proofErr w:type="spellEnd"/>
      <w:r>
        <w:rPr>
          <w:sz w:val="24"/>
        </w:rPr>
        <w:t xml:space="preserve"> queda regularizada al 31 de mayo, c</w:t>
      </w:r>
      <w:r w:rsidR="009D7054">
        <w:rPr>
          <w:sz w:val="24"/>
        </w:rPr>
        <w:t>on la autorización del Congreso.</w:t>
      </w:r>
      <w:r>
        <w:rPr>
          <w:sz w:val="24"/>
        </w:rPr>
        <w:t xml:space="preserve"> </w:t>
      </w:r>
      <w:r w:rsidR="009D7054">
        <w:rPr>
          <w:sz w:val="24"/>
        </w:rPr>
        <w:t>A</w:t>
      </w:r>
      <w:r>
        <w:rPr>
          <w:sz w:val="24"/>
        </w:rPr>
        <w:t xml:space="preserve">ntes de esa fecha, se establecían las disponibilidades para iniciar los procesos de licitación, </w:t>
      </w:r>
      <w:r w:rsidR="001B366B">
        <w:rPr>
          <w:sz w:val="24"/>
        </w:rPr>
        <w:t>y</w:t>
      </w:r>
      <w:r>
        <w:rPr>
          <w:sz w:val="24"/>
        </w:rPr>
        <w:t xml:space="preserve"> </w:t>
      </w:r>
      <w:r w:rsidR="0083274E">
        <w:rPr>
          <w:sz w:val="24"/>
        </w:rPr>
        <w:t>el recurso se liberaba</w:t>
      </w:r>
      <w:r>
        <w:rPr>
          <w:sz w:val="24"/>
        </w:rPr>
        <w:t xml:space="preserve"> </w:t>
      </w:r>
      <w:r w:rsidR="00F912AB">
        <w:rPr>
          <w:sz w:val="24"/>
        </w:rPr>
        <w:t>cuando se requerían pagos.</w:t>
      </w:r>
      <w:r w:rsidR="001B366B">
        <w:rPr>
          <w:sz w:val="24"/>
        </w:rPr>
        <w:t xml:space="preserve"> </w:t>
      </w:r>
      <w:r w:rsidR="00F912AB">
        <w:rPr>
          <w:sz w:val="24"/>
        </w:rPr>
        <w:t>Con la autorización del Congreso, se están regularizando los registros de comprometido y se podrá dar fluidez a las trasferencias de recursos.</w:t>
      </w:r>
    </w:p>
    <w:p w:rsidR="00F912AB" w:rsidRDefault="00F912AB" w:rsidP="00F912AB">
      <w:pPr>
        <w:jc w:val="both"/>
        <w:rPr>
          <w:sz w:val="24"/>
        </w:rPr>
      </w:pPr>
    </w:p>
    <w:p w:rsidR="00621016" w:rsidRDefault="00B27E4B" w:rsidP="00A52E53">
      <w:pPr>
        <w:rPr>
          <w:b/>
          <w:sz w:val="24"/>
        </w:rPr>
      </w:pPr>
      <w:r w:rsidRPr="00B27E4B">
        <w:rPr>
          <w:b/>
          <w:sz w:val="24"/>
        </w:rPr>
        <w:t xml:space="preserve">Detalle de Asignaciones de Salud </w:t>
      </w:r>
    </w:p>
    <w:p w:rsidR="00F912AB" w:rsidRPr="00B27E4B" w:rsidRDefault="00F912AB" w:rsidP="00A52E53">
      <w:pPr>
        <w:rPr>
          <w:b/>
          <w:sz w:val="24"/>
        </w:rPr>
      </w:pPr>
    </w:p>
    <w:tbl>
      <w:tblPr>
        <w:tblW w:w="8340" w:type="dxa"/>
        <w:tblCellMar>
          <w:left w:w="70" w:type="dxa"/>
          <w:right w:w="70" w:type="dxa"/>
        </w:tblCellMar>
        <w:tblLook w:val="0600" w:firstRow="0" w:lastRow="0" w:firstColumn="0" w:lastColumn="0" w:noHBand="1" w:noVBand="1"/>
      </w:tblPr>
      <w:tblGrid>
        <w:gridCol w:w="1200"/>
        <w:gridCol w:w="811"/>
        <w:gridCol w:w="886"/>
        <w:gridCol w:w="811"/>
        <w:gridCol w:w="886"/>
        <w:gridCol w:w="811"/>
        <w:gridCol w:w="886"/>
        <w:gridCol w:w="830"/>
        <w:gridCol w:w="903"/>
        <w:gridCol w:w="700"/>
      </w:tblGrid>
      <w:tr w:rsidR="00F912AB" w:rsidRPr="00F912AB" w:rsidTr="00F912AB">
        <w:trPr>
          <w:trHeight w:val="570"/>
        </w:trPr>
        <w:tc>
          <w:tcPr>
            <w:tcW w:w="120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Conceptos</w:t>
            </w:r>
          </w:p>
        </w:tc>
        <w:tc>
          <w:tcPr>
            <w:tcW w:w="1600" w:type="dxa"/>
            <w:gridSpan w:val="2"/>
            <w:tcBorders>
              <w:top w:val="single" w:sz="8" w:space="0" w:color="auto"/>
              <w:left w:val="nil"/>
              <w:bottom w:val="single" w:sz="4" w:space="0" w:color="auto"/>
              <w:right w:val="single" w:sz="4" w:space="0" w:color="000000"/>
            </w:tcBorders>
            <w:shd w:val="clear" w:color="000000" w:fill="F2F2F2"/>
            <w:vAlign w:val="center"/>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 xml:space="preserve">OPD Servicios de Salud Jalisco </w:t>
            </w:r>
          </w:p>
        </w:tc>
        <w:tc>
          <w:tcPr>
            <w:tcW w:w="1600" w:type="dxa"/>
            <w:gridSpan w:val="2"/>
            <w:tcBorders>
              <w:top w:val="single" w:sz="8" w:space="0" w:color="auto"/>
              <w:left w:val="nil"/>
              <w:bottom w:val="single" w:sz="4" w:space="0" w:color="auto"/>
              <w:right w:val="single" w:sz="4" w:space="0" w:color="000000"/>
            </w:tcBorders>
            <w:shd w:val="clear" w:color="000000" w:fill="F2F2F2"/>
            <w:vAlign w:val="center"/>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OPD Hospital Civil</w:t>
            </w:r>
          </w:p>
        </w:tc>
        <w:tc>
          <w:tcPr>
            <w:tcW w:w="1600" w:type="dxa"/>
            <w:gridSpan w:val="2"/>
            <w:tcBorders>
              <w:top w:val="single" w:sz="8" w:space="0" w:color="auto"/>
              <w:left w:val="nil"/>
              <w:bottom w:val="single" w:sz="4" w:space="0" w:color="auto"/>
              <w:right w:val="nil"/>
            </w:tcBorders>
            <w:shd w:val="clear" w:color="000000" w:fill="F2F2F2"/>
            <w:vAlign w:val="center"/>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 xml:space="preserve">Hospital Ángel </w:t>
            </w:r>
            <w:proofErr w:type="spellStart"/>
            <w:r w:rsidRPr="00F912AB">
              <w:rPr>
                <w:rFonts w:eastAsia="Times New Roman"/>
                <w:b/>
                <w:bCs/>
                <w:color w:val="000000"/>
                <w:sz w:val="18"/>
                <w:szCs w:val="18"/>
                <w:lang w:val="es-MX" w:eastAsia="es-MX" w:bidi="ar-SA"/>
              </w:rPr>
              <w:t>Leaño</w:t>
            </w:r>
            <w:proofErr w:type="spellEnd"/>
          </w:p>
        </w:tc>
        <w:tc>
          <w:tcPr>
            <w:tcW w:w="1640" w:type="dxa"/>
            <w:gridSpan w:val="2"/>
            <w:tcBorders>
              <w:top w:val="single" w:sz="8" w:space="0" w:color="auto"/>
              <w:left w:val="single" w:sz="8" w:space="0" w:color="auto"/>
              <w:bottom w:val="single" w:sz="4" w:space="0" w:color="auto"/>
              <w:right w:val="single" w:sz="4" w:space="0" w:color="000000"/>
            </w:tcBorders>
            <w:shd w:val="clear" w:color="000000" w:fill="F2F2F2"/>
            <w:vAlign w:val="center"/>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Total</w:t>
            </w:r>
          </w:p>
        </w:tc>
        <w:tc>
          <w:tcPr>
            <w:tcW w:w="700" w:type="dxa"/>
            <w:tcBorders>
              <w:top w:val="single" w:sz="8" w:space="0" w:color="auto"/>
              <w:left w:val="nil"/>
              <w:bottom w:val="single" w:sz="4" w:space="0" w:color="auto"/>
              <w:right w:val="single" w:sz="8" w:space="0" w:color="auto"/>
            </w:tcBorders>
            <w:shd w:val="clear" w:color="000000" w:fill="F2F2F2"/>
            <w:vAlign w:val="center"/>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 xml:space="preserve">% Avance </w:t>
            </w:r>
          </w:p>
        </w:tc>
      </w:tr>
      <w:tr w:rsidR="00F912AB" w:rsidRPr="00F912AB" w:rsidTr="00F912AB">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rPr>
                <w:rFonts w:eastAsia="Times New Roman"/>
                <w:color w:val="000000"/>
                <w:sz w:val="18"/>
                <w:szCs w:val="18"/>
                <w:lang w:val="es-MX" w:eastAsia="es-MX" w:bidi="ar-SA"/>
              </w:rPr>
            </w:pPr>
            <w:r w:rsidRPr="00F912AB">
              <w:rPr>
                <w:rFonts w:eastAsia="Times New Roman"/>
                <w:color w:val="000000"/>
                <w:sz w:val="18"/>
                <w:szCs w:val="18"/>
                <w:lang w:val="es-MX" w:eastAsia="es-MX" w:bidi="ar-SA"/>
              </w:rPr>
              <w:t> </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color w:val="000000"/>
                <w:sz w:val="18"/>
                <w:szCs w:val="18"/>
                <w:lang w:val="es-MX" w:eastAsia="es-MX" w:bidi="ar-SA"/>
              </w:rPr>
            </w:pPr>
            <w:r w:rsidRPr="00F912AB">
              <w:rPr>
                <w:rFonts w:eastAsia="Times New Roman"/>
                <w:color w:val="000000"/>
                <w:sz w:val="18"/>
                <w:szCs w:val="18"/>
                <w:lang w:val="es-MX" w:eastAsia="es-MX" w:bidi="ar-SA"/>
              </w:rPr>
              <w:t xml:space="preserve">Asignado </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color w:val="000000"/>
                <w:sz w:val="18"/>
                <w:szCs w:val="18"/>
                <w:lang w:val="es-MX" w:eastAsia="es-MX" w:bidi="ar-SA"/>
              </w:rPr>
            </w:pPr>
            <w:r w:rsidRPr="00F912AB">
              <w:rPr>
                <w:rFonts w:eastAsia="Times New Roman"/>
                <w:color w:val="000000"/>
                <w:sz w:val="18"/>
                <w:szCs w:val="18"/>
                <w:lang w:val="es-MX" w:eastAsia="es-MX" w:bidi="ar-SA"/>
              </w:rPr>
              <w:t>Trasferido</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color w:val="000000"/>
                <w:sz w:val="18"/>
                <w:szCs w:val="18"/>
                <w:lang w:val="es-MX" w:eastAsia="es-MX" w:bidi="ar-SA"/>
              </w:rPr>
            </w:pPr>
            <w:r w:rsidRPr="00F912AB">
              <w:rPr>
                <w:rFonts w:eastAsia="Times New Roman"/>
                <w:color w:val="000000"/>
                <w:sz w:val="18"/>
                <w:szCs w:val="18"/>
                <w:lang w:val="es-MX" w:eastAsia="es-MX" w:bidi="ar-SA"/>
              </w:rPr>
              <w:t xml:space="preserve">Asignado </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color w:val="000000"/>
                <w:sz w:val="18"/>
                <w:szCs w:val="18"/>
                <w:lang w:val="es-MX" w:eastAsia="es-MX" w:bidi="ar-SA"/>
              </w:rPr>
            </w:pPr>
            <w:r w:rsidRPr="00F912AB">
              <w:rPr>
                <w:rFonts w:eastAsia="Times New Roman"/>
                <w:color w:val="000000"/>
                <w:sz w:val="18"/>
                <w:szCs w:val="18"/>
                <w:lang w:val="es-MX" w:eastAsia="es-MX" w:bidi="ar-SA"/>
              </w:rPr>
              <w:t>Trasferido</w:t>
            </w:r>
          </w:p>
        </w:tc>
        <w:tc>
          <w:tcPr>
            <w:tcW w:w="756"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color w:val="000000"/>
                <w:sz w:val="18"/>
                <w:szCs w:val="18"/>
                <w:lang w:val="es-MX" w:eastAsia="es-MX" w:bidi="ar-SA"/>
              </w:rPr>
            </w:pPr>
            <w:r w:rsidRPr="00F912AB">
              <w:rPr>
                <w:rFonts w:eastAsia="Times New Roman"/>
                <w:color w:val="000000"/>
                <w:sz w:val="18"/>
                <w:szCs w:val="18"/>
                <w:lang w:val="es-MX" w:eastAsia="es-MX" w:bidi="ar-SA"/>
              </w:rPr>
              <w:t xml:space="preserve">Asignado </w:t>
            </w:r>
          </w:p>
        </w:tc>
        <w:tc>
          <w:tcPr>
            <w:tcW w:w="844" w:type="dxa"/>
            <w:tcBorders>
              <w:top w:val="nil"/>
              <w:left w:val="nil"/>
              <w:bottom w:val="single" w:sz="4" w:space="0" w:color="auto"/>
              <w:right w:val="nil"/>
            </w:tcBorders>
            <w:shd w:val="clear" w:color="auto" w:fill="auto"/>
            <w:noWrap/>
            <w:vAlign w:val="bottom"/>
            <w:hideMark/>
          </w:tcPr>
          <w:p w:rsidR="00F912AB" w:rsidRPr="00F912AB" w:rsidRDefault="00F912AB" w:rsidP="00F912AB">
            <w:pPr>
              <w:widowControl/>
              <w:autoSpaceDE/>
              <w:autoSpaceDN/>
              <w:jc w:val="center"/>
              <w:rPr>
                <w:rFonts w:eastAsia="Times New Roman"/>
                <w:color w:val="000000"/>
                <w:sz w:val="18"/>
                <w:szCs w:val="18"/>
                <w:lang w:val="es-MX" w:eastAsia="es-MX" w:bidi="ar-SA"/>
              </w:rPr>
            </w:pPr>
            <w:r w:rsidRPr="00F912AB">
              <w:rPr>
                <w:rFonts w:eastAsia="Times New Roman"/>
                <w:color w:val="000000"/>
                <w:sz w:val="18"/>
                <w:szCs w:val="18"/>
                <w:lang w:val="es-MX" w:eastAsia="es-MX" w:bidi="ar-SA"/>
              </w:rPr>
              <w:t>Trasferido</w:t>
            </w:r>
          </w:p>
        </w:tc>
        <w:tc>
          <w:tcPr>
            <w:tcW w:w="782"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 xml:space="preserve">Asignado </w:t>
            </w:r>
          </w:p>
        </w:tc>
        <w:tc>
          <w:tcPr>
            <w:tcW w:w="858" w:type="dxa"/>
            <w:tcBorders>
              <w:top w:val="nil"/>
              <w:left w:val="nil"/>
              <w:bottom w:val="single" w:sz="4" w:space="0" w:color="auto"/>
              <w:right w:val="nil"/>
            </w:tcBorders>
            <w:shd w:val="clear" w:color="auto" w:fill="auto"/>
            <w:noWrap/>
            <w:vAlign w:val="bottom"/>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Trasferido</w:t>
            </w:r>
          </w:p>
        </w:tc>
        <w:tc>
          <w:tcPr>
            <w:tcW w:w="700" w:type="dxa"/>
            <w:tcBorders>
              <w:top w:val="nil"/>
              <w:left w:val="single" w:sz="4" w:space="0" w:color="auto"/>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center"/>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 </w:t>
            </w:r>
          </w:p>
        </w:tc>
      </w:tr>
      <w:tr w:rsidR="00F912AB" w:rsidRPr="00F912AB" w:rsidTr="00F912AB">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rPr>
                <w:rFonts w:eastAsia="Times New Roman"/>
                <w:color w:val="000000"/>
                <w:sz w:val="18"/>
                <w:szCs w:val="18"/>
                <w:lang w:val="es-MX" w:eastAsia="es-MX" w:bidi="ar-SA"/>
              </w:rPr>
            </w:pPr>
            <w:r w:rsidRPr="00F912AB">
              <w:rPr>
                <w:rFonts w:eastAsia="Times New Roman"/>
                <w:color w:val="000000"/>
                <w:sz w:val="18"/>
                <w:szCs w:val="18"/>
                <w:lang w:val="es-MX" w:eastAsia="es-MX" w:bidi="ar-SA"/>
              </w:rPr>
              <w:t xml:space="preserve">Insumos </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793.61</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171.9</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172.48</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125.32</w:t>
            </w:r>
          </w:p>
        </w:tc>
        <w:tc>
          <w:tcPr>
            <w:tcW w:w="756"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112.48</w:t>
            </w:r>
          </w:p>
        </w:tc>
        <w:tc>
          <w:tcPr>
            <w:tcW w:w="844" w:type="dxa"/>
            <w:tcBorders>
              <w:top w:val="nil"/>
              <w:left w:val="nil"/>
              <w:bottom w:val="single" w:sz="4" w:space="0" w:color="auto"/>
              <w:right w:val="nil"/>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46.3</w:t>
            </w:r>
          </w:p>
        </w:tc>
        <w:tc>
          <w:tcPr>
            <w:tcW w:w="782"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w:t>
            </w:r>
            <w:r w:rsidR="001B366B">
              <w:rPr>
                <w:rFonts w:eastAsia="Times New Roman"/>
                <w:b/>
                <w:bCs/>
                <w:color w:val="000000"/>
                <w:sz w:val="18"/>
                <w:szCs w:val="18"/>
                <w:lang w:val="es-MX" w:eastAsia="es-MX" w:bidi="ar-SA"/>
              </w:rPr>
              <w:t>,</w:t>
            </w:r>
            <w:r w:rsidRPr="00F912AB">
              <w:rPr>
                <w:rFonts w:eastAsia="Times New Roman"/>
                <w:b/>
                <w:bCs/>
                <w:color w:val="000000"/>
                <w:sz w:val="18"/>
                <w:szCs w:val="18"/>
                <w:lang w:val="es-MX" w:eastAsia="es-MX" w:bidi="ar-SA"/>
              </w:rPr>
              <w:t>078.57</w:t>
            </w:r>
          </w:p>
        </w:tc>
        <w:tc>
          <w:tcPr>
            <w:tcW w:w="858" w:type="dxa"/>
            <w:tcBorders>
              <w:top w:val="nil"/>
              <w:left w:val="nil"/>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343.52</w:t>
            </w:r>
          </w:p>
        </w:tc>
        <w:tc>
          <w:tcPr>
            <w:tcW w:w="700" w:type="dxa"/>
            <w:tcBorders>
              <w:top w:val="nil"/>
              <w:left w:val="single" w:sz="4" w:space="0" w:color="auto"/>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31.8%</w:t>
            </w:r>
          </w:p>
        </w:tc>
      </w:tr>
      <w:tr w:rsidR="00F912AB" w:rsidRPr="00F912AB" w:rsidTr="00F912AB">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rPr>
                <w:rFonts w:eastAsia="Times New Roman"/>
                <w:color w:val="000000"/>
                <w:sz w:val="18"/>
                <w:szCs w:val="18"/>
                <w:lang w:val="es-MX" w:eastAsia="es-MX" w:bidi="ar-SA"/>
              </w:rPr>
            </w:pPr>
            <w:r w:rsidRPr="00F912AB">
              <w:rPr>
                <w:rFonts w:eastAsia="Times New Roman"/>
                <w:color w:val="000000"/>
                <w:sz w:val="18"/>
                <w:szCs w:val="18"/>
                <w:lang w:val="es-MX" w:eastAsia="es-MX" w:bidi="ar-SA"/>
              </w:rPr>
              <w:t>Personal</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208.86</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10.6</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11.17</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11.17</w:t>
            </w:r>
          </w:p>
        </w:tc>
        <w:tc>
          <w:tcPr>
            <w:tcW w:w="756"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10.65</w:t>
            </w:r>
          </w:p>
        </w:tc>
        <w:tc>
          <w:tcPr>
            <w:tcW w:w="844" w:type="dxa"/>
            <w:tcBorders>
              <w:top w:val="nil"/>
              <w:left w:val="nil"/>
              <w:bottom w:val="single" w:sz="4" w:space="0" w:color="auto"/>
              <w:right w:val="nil"/>
            </w:tcBorders>
            <w:shd w:val="clear" w:color="auto" w:fill="auto"/>
            <w:noWrap/>
            <w:vAlign w:val="bottom"/>
            <w:hideMark/>
          </w:tcPr>
          <w:p w:rsidR="00F912AB" w:rsidRPr="00F912AB" w:rsidRDefault="00F912AB" w:rsidP="00BD34F5">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 </w:t>
            </w:r>
            <w:r w:rsidR="00BD34F5">
              <w:rPr>
                <w:rFonts w:eastAsia="Times New Roman"/>
                <w:color w:val="000000"/>
                <w:sz w:val="18"/>
                <w:szCs w:val="18"/>
                <w:lang w:val="es-MX" w:eastAsia="es-MX" w:bidi="ar-SA"/>
              </w:rPr>
              <w:t>0.00</w:t>
            </w:r>
          </w:p>
        </w:tc>
        <w:tc>
          <w:tcPr>
            <w:tcW w:w="782"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230.68</w:t>
            </w:r>
          </w:p>
        </w:tc>
        <w:tc>
          <w:tcPr>
            <w:tcW w:w="858" w:type="dxa"/>
            <w:tcBorders>
              <w:top w:val="nil"/>
              <w:left w:val="nil"/>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21.77</w:t>
            </w:r>
          </w:p>
        </w:tc>
        <w:tc>
          <w:tcPr>
            <w:tcW w:w="700" w:type="dxa"/>
            <w:tcBorders>
              <w:top w:val="nil"/>
              <w:left w:val="single" w:sz="4" w:space="0" w:color="auto"/>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9.4%</w:t>
            </w:r>
          </w:p>
        </w:tc>
      </w:tr>
      <w:tr w:rsidR="00F912AB" w:rsidRPr="00F912AB" w:rsidTr="00F912AB">
        <w:trPr>
          <w:trHeight w:val="28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rPr>
                <w:rFonts w:eastAsia="Times New Roman"/>
                <w:color w:val="000000"/>
                <w:sz w:val="18"/>
                <w:szCs w:val="18"/>
                <w:lang w:val="es-MX" w:eastAsia="es-MX" w:bidi="ar-SA"/>
              </w:rPr>
            </w:pPr>
            <w:r w:rsidRPr="00F912AB">
              <w:rPr>
                <w:rFonts w:eastAsia="Times New Roman"/>
                <w:color w:val="000000"/>
                <w:sz w:val="18"/>
                <w:szCs w:val="18"/>
                <w:lang w:val="es-MX" w:eastAsia="es-MX" w:bidi="ar-SA"/>
              </w:rPr>
              <w:t>Equipamiento</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148.26</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148.26</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17.22</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0</w:t>
            </w:r>
            <w:r w:rsidR="00BD34F5">
              <w:rPr>
                <w:rFonts w:eastAsia="Times New Roman"/>
                <w:color w:val="000000"/>
                <w:sz w:val="18"/>
                <w:szCs w:val="18"/>
                <w:lang w:val="es-MX" w:eastAsia="es-MX" w:bidi="ar-SA"/>
              </w:rPr>
              <w:t>.00</w:t>
            </w:r>
          </w:p>
        </w:tc>
        <w:tc>
          <w:tcPr>
            <w:tcW w:w="756"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0</w:t>
            </w:r>
            <w:r w:rsidR="00BD34F5">
              <w:rPr>
                <w:rFonts w:eastAsia="Times New Roman"/>
                <w:color w:val="000000"/>
                <w:sz w:val="18"/>
                <w:szCs w:val="18"/>
                <w:lang w:val="es-MX" w:eastAsia="es-MX" w:bidi="ar-SA"/>
              </w:rPr>
              <w:t>.00</w:t>
            </w:r>
          </w:p>
        </w:tc>
        <w:tc>
          <w:tcPr>
            <w:tcW w:w="844" w:type="dxa"/>
            <w:tcBorders>
              <w:top w:val="nil"/>
              <w:left w:val="nil"/>
              <w:bottom w:val="single" w:sz="4" w:space="0" w:color="auto"/>
              <w:right w:val="nil"/>
            </w:tcBorders>
            <w:shd w:val="clear" w:color="auto" w:fill="auto"/>
            <w:noWrap/>
            <w:vAlign w:val="bottom"/>
            <w:hideMark/>
          </w:tcPr>
          <w:p w:rsidR="00F912AB" w:rsidRPr="00F912AB" w:rsidRDefault="00F912AB" w:rsidP="00BD34F5">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 </w:t>
            </w:r>
            <w:r w:rsidR="00BD34F5">
              <w:rPr>
                <w:rFonts w:eastAsia="Times New Roman"/>
                <w:color w:val="000000"/>
                <w:sz w:val="18"/>
                <w:szCs w:val="18"/>
                <w:lang w:val="es-MX" w:eastAsia="es-MX" w:bidi="ar-SA"/>
              </w:rPr>
              <w:t>0.00</w:t>
            </w:r>
          </w:p>
        </w:tc>
        <w:tc>
          <w:tcPr>
            <w:tcW w:w="782"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165.48</w:t>
            </w:r>
          </w:p>
        </w:tc>
        <w:tc>
          <w:tcPr>
            <w:tcW w:w="858" w:type="dxa"/>
            <w:tcBorders>
              <w:top w:val="nil"/>
              <w:left w:val="nil"/>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148.26</w:t>
            </w:r>
          </w:p>
        </w:tc>
        <w:tc>
          <w:tcPr>
            <w:tcW w:w="700" w:type="dxa"/>
            <w:tcBorders>
              <w:top w:val="nil"/>
              <w:left w:val="single" w:sz="4" w:space="0" w:color="auto"/>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89.6%</w:t>
            </w:r>
          </w:p>
        </w:tc>
      </w:tr>
      <w:tr w:rsidR="00F912AB" w:rsidRPr="00F912AB" w:rsidTr="00F912AB">
        <w:trPr>
          <w:trHeight w:val="46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F912AB" w:rsidRPr="00F912AB" w:rsidRDefault="00F912AB" w:rsidP="00F912AB">
            <w:pPr>
              <w:widowControl/>
              <w:autoSpaceDE/>
              <w:autoSpaceDN/>
              <w:rPr>
                <w:rFonts w:eastAsia="Times New Roman"/>
                <w:color w:val="000000"/>
                <w:sz w:val="18"/>
                <w:szCs w:val="18"/>
                <w:lang w:val="es-MX" w:eastAsia="es-MX" w:bidi="ar-SA"/>
              </w:rPr>
            </w:pPr>
            <w:r w:rsidRPr="00F912AB">
              <w:rPr>
                <w:rFonts w:eastAsia="Times New Roman"/>
                <w:color w:val="000000"/>
                <w:sz w:val="18"/>
                <w:szCs w:val="18"/>
                <w:lang w:val="es-MX" w:eastAsia="es-MX" w:bidi="ar-SA"/>
              </w:rPr>
              <w:t>Reconversión Hospitalaria</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74.17</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18.9</w:t>
            </w:r>
          </w:p>
        </w:tc>
        <w:tc>
          <w:tcPr>
            <w:tcW w:w="758"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0</w:t>
            </w:r>
            <w:r w:rsidR="00BD34F5">
              <w:rPr>
                <w:rFonts w:eastAsia="Times New Roman"/>
                <w:color w:val="000000"/>
                <w:sz w:val="18"/>
                <w:szCs w:val="18"/>
                <w:lang w:val="es-MX" w:eastAsia="es-MX" w:bidi="ar-SA"/>
              </w:rPr>
              <w:t>.00</w:t>
            </w:r>
          </w:p>
        </w:tc>
        <w:tc>
          <w:tcPr>
            <w:tcW w:w="842"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BD34F5">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 </w:t>
            </w:r>
            <w:r w:rsidR="00BD34F5">
              <w:rPr>
                <w:rFonts w:eastAsia="Times New Roman"/>
                <w:color w:val="000000"/>
                <w:sz w:val="18"/>
                <w:szCs w:val="18"/>
                <w:lang w:val="es-MX" w:eastAsia="es-MX" w:bidi="ar-SA"/>
              </w:rPr>
              <w:t>0.00</w:t>
            </w:r>
          </w:p>
        </w:tc>
        <w:tc>
          <w:tcPr>
            <w:tcW w:w="756" w:type="dxa"/>
            <w:tcBorders>
              <w:top w:val="nil"/>
              <w:left w:val="nil"/>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18.9</w:t>
            </w:r>
          </w:p>
        </w:tc>
        <w:tc>
          <w:tcPr>
            <w:tcW w:w="844" w:type="dxa"/>
            <w:tcBorders>
              <w:top w:val="nil"/>
              <w:left w:val="nil"/>
              <w:bottom w:val="single" w:sz="4" w:space="0" w:color="auto"/>
              <w:right w:val="nil"/>
            </w:tcBorders>
            <w:shd w:val="clear" w:color="auto" w:fill="auto"/>
            <w:noWrap/>
            <w:vAlign w:val="bottom"/>
            <w:hideMark/>
          </w:tcPr>
          <w:p w:rsidR="00F912AB" w:rsidRPr="00F912AB" w:rsidRDefault="00F912AB" w:rsidP="00F912AB">
            <w:pPr>
              <w:widowControl/>
              <w:autoSpaceDE/>
              <w:autoSpaceDN/>
              <w:jc w:val="right"/>
              <w:rPr>
                <w:rFonts w:eastAsia="Times New Roman"/>
                <w:color w:val="000000"/>
                <w:sz w:val="18"/>
                <w:szCs w:val="18"/>
                <w:lang w:val="es-MX" w:eastAsia="es-MX" w:bidi="ar-SA"/>
              </w:rPr>
            </w:pPr>
            <w:r w:rsidRPr="00F912AB">
              <w:rPr>
                <w:rFonts w:eastAsia="Times New Roman"/>
                <w:color w:val="000000"/>
                <w:sz w:val="18"/>
                <w:szCs w:val="18"/>
                <w:lang w:val="es-MX" w:eastAsia="es-MX" w:bidi="ar-SA"/>
              </w:rPr>
              <w:t>16.3</w:t>
            </w:r>
          </w:p>
        </w:tc>
        <w:tc>
          <w:tcPr>
            <w:tcW w:w="782" w:type="dxa"/>
            <w:tcBorders>
              <w:top w:val="nil"/>
              <w:left w:val="single" w:sz="8" w:space="0" w:color="auto"/>
              <w:bottom w:val="single" w:sz="4" w:space="0" w:color="auto"/>
              <w:right w:val="single" w:sz="4"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93.07</w:t>
            </w:r>
          </w:p>
        </w:tc>
        <w:tc>
          <w:tcPr>
            <w:tcW w:w="858" w:type="dxa"/>
            <w:tcBorders>
              <w:top w:val="nil"/>
              <w:left w:val="nil"/>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35.2</w:t>
            </w:r>
          </w:p>
        </w:tc>
        <w:tc>
          <w:tcPr>
            <w:tcW w:w="700" w:type="dxa"/>
            <w:tcBorders>
              <w:top w:val="nil"/>
              <w:left w:val="single" w:sz="4" w:space="0" w:color="auto"/>
              <w:bottom w:val="single" w:sz="4"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37.8%</w:t>
            </w:r>
          </w:p>
        </w:tc>
      </w:tr>
      <w:tr w:rsidR="00F912AB" w:rsidRPr="00F912AB" w:rsidTr="00F912AB">
        <w:trPr>
          <w:trHeight w:val="293"/>
        </w:trPr>
        <w:tc>
          <w:tcPr>
            <w:tcW w:w="1200" w:type="dxa"/>
            <w:tcBorders>
              <w:top w:val="nil"/>
              <w:left w:val="single" w:sz="8" w:space="0" w:color="auto"/>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Total</w:t>
            </w:r>
          </w:p>
        </w:tc>
        <w:tc>
          <w:tcPr>
            <w:tcW w:w="758" w:type="dxa"/>
            <w:tcBorders>
              <w:top w:val="nil"/>
              <w:left w:val="nil"/>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w:t>
            </w:r>
            <w:r w:rsidR="001B366B">
              <w:rPr>
                <w:rFonts w:eastAsia="Times New Roman"/>
                <w:b/>
                <w:bCs/>
                <w:color w:val="000000"/>
                <w:sz w:val="18"/>
                <w:szCs w:val="18"/>
                <w:lang w:val="es-MX" w:eastAsia="es-MX" w:bidi="ar-SA"/>
              </w:rPr>
              <w:t>,</w:t>
            </w:r>
            <w:r w:rsidRPr="00F912AB">
              <w:rPr>
                <w:rFonts w:eastAsia="Times New Roman"/>
                <w:b/>
                <w:bCs/>
                <w:color w:val="000000"/>
                <w:sz w:val="18"/>
                <w:szCs w:val="18"/>
                <w:lang w:val="es-MX" w:eastAsia="es-MX" w:bidi="ar-SA"/>
              </w:rPr>
              <w:t>224.9</w:t>
            </w:r>
          </w:p>
        </w:tc>
        <w:tc>
          <w:tcPr>
            <w:tcW w:w="842" w:type="dxa"/>
            <w:tcBorders>
              <w:top w:val="nil"/>
              <w:left w:val="nil"/>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349.66</w:t>
            </w:r>
          </w:p>
        </w:tc>
        <w:tc>
          <w:tcPr>
            <w:tcW w:w="758" w:type="dxa"/>
            <w:tcBorders>
              <w:top w:val="nil"/>
              <w:left w:val="nil"/>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200.87</w:t>
            </w:r>
          </w:p>
        </w:tc>
        <w:tc>
          <w:tcPr>
            <w:tcW w:w="842" w:type="dxa"/>
            <w:tcBorders>
              <w:top w:val="nil"/>
              <w:left w:val="nil"/>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136.49</w:t>
            </w:r>
          </w:p>
        </w:tc>
        <w:tc>
          <w:tcPr>
            <w:tcW w:w="756" w:type="dxa"/>
            <w:tcBorders>
              <w:top w:val="nil"/>
              <w:left w:val="nil"/>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142.03</w:t>
            </w:r>
          </w:p>
        </w:tc>
        <w:tc>
          <w:tcPr>
            <w:tcW w:w="844" w:type="dxa"/>
            <w:tcBorders>
              <w:top w:val="nil"/>
              <w:left w:val="nil"/>
              <w:bottom w:val="single" w:sz="8" w:space="0" w:color="auto"/>
              <w:right w:val="nil"/>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62.6</w:t>
            </w:r>
          </w:p>
        </w:tc>
        <w:tc>
          <w:tcPr>
            <w:tcW w:w="782" w:type="dxa"/>
            <w:tcBorders>
              <w:top w:val="nil"/>
              <w:left w:val="single" w:sz="8" w:space="0" w:color="auto"/>
              <w:bottom w:val="single" w:sz="8" w:space="0" w:color="auto"/>
              <w:right w:val="single" w:sz="4"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1</w:t>
            </w:r>
            <w:r w:rsidR="001B366B">
              <w:rPr>
                <w:rFonts w:eastAsia="Times New Roman"/>
                <w:b/>
                <w:bCs/>
                <w:color w:val="000000"/>
                <w:sz w:val="18"/>
                <w:szCs w:val="18"/>
                <w:lang w:val="es-MX" w:eastAsia="es-MX" w:bidi="ar-SA"/>
              </w:rPr>
              <w:t>,</w:t>
            </w:r>
            <w:r w:rsidRPr="00F912AB">
              <w:rPr>
                <w:rFonts w:eastAsia="Times New Roman"/>
                <w:b/>
                <w:bCs/>
                <w:color w:val="000000"/>
                <w:sz w:val="18"/>
                <w:szCs w:val="18"/>
                <w:lang w:val="es-MX" w:eastAsia="es-MX" w:bidi="ar-SA"/>
              </w:rPr>
              <w:t>567.8</w:t>
            </w:r>
          </w:p>
        </w:tc>
        <w:tc>
          <w:tcPr>
            <w:tcW w:w="858" w:type="dxa"/>
            <w:tcBorders>
              <w:top w:val="nil"/>
              <w:left w:val="nil"/>
              <w:bottom w:val="single" w:sz="8" w:space="0" w:color="auto"/>
              <w:right w:val="single" w:sz="8" w:space="0" w:color="auto"/>
            </w:tcBorders>
            <w:shd w:val="clear" w:color="000000" w:fill="F2F2F2"/>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548.75</w:t>
            </w:r>
          </w:p>
        </w:tc>
        <w:tc>
          <w:tcPr>
            <w:tcW w:w="700" w:type="dxa"/>
            <w:tcBorders>
              <w:top w:val="nil"/>
              <w:left w:val="single" w:sz="4" w:space="0" w:color="auto"/>
              <w:bottom w:val="single" w:sz="8" w:space="0" w:color="auto"/>
              <w:right w:val="single" w:sz="8" w:space="0" w:color="auto"/>
            </w:tcBorders>
            <w:shd w:val="clear" w:color="auto" w:fill="auto"/>
            <w:noWrap/>
            <w:vAlign w:val="bottom"/>
            <w:hideMark/>
          </w:tcPr>
          <w:p w:rsidR="00F912AB" w:rsidRPr="00F912AB" w:rsidRDefault="00F912AB" w:rsidP="00F912AB">
            <w:pPr>
              <w:widowControl/>
              <w:autoSpaceDE/>
              <w:autoSpaceDN/>
              <w:jc w:val="right"/>
              <w:rPr>
                <w:rFonts w:eastAsia="Times New Roman"/>
                <w:b/>
                <w:bCs/>
                <w:color w:val="000000"/>
                <w:sz w:val="18"/>
                <w:szCs w:val="18"/>
                <w:lang w:val="es-MX" w:eastAsia="es-MX" w:bidi="ar-SA"/>
              </w:rPr>
            </w:pPr>
            <w:r w:rsidRPr="00F912AB">
              <w:rPr>
                <w:rFonts w:eastAsia="Times New Roman"/>
                <w:b/>
                <w:bCs/>
                <w:color w:val="000000"/>
                <w:sz w:val="18"/>
                <w:szCs w:val="18"/>
                <w:lang w:val="es-MX" w:eastAsia="es-MX" w:bidi="ar-SA"/>
              </w:rPr>
              <w:t>35.0%</w:t>
            </w:r>
          </w:p>
        </w:tc>
      </w:tr>
    </w:tbl>
    <w:p w:rsidR="00F912AB" w:rsidRPr="00BD34F5" w:rsidRDefault="001B366B" w:rsidP="00A52E53">
      <w:pPr>
        <w:rPr>
          <w:sz w:val="20"/>
          <w:szCs w:val="20"/>
        </w:rPr>
      </w:pPr>
      <w:r w:rsidRPr="001B366B">
        <w:rPr>
          <w:sz w:val="20"/>
          <w:szCs w:val="20"/>
        </w:rPr>
        <w:t>Millones de pesos</w:t>
      </w:r>
      <w:r w:rsidR="00BD34F5">
        <w:rPr>
          <w:sz w:val="20"/>
          <w:szCs w:val="20"/>
        </w:rPr>
        <w:t xml:space="preserve">. </w:t>
      </w:r>
      <w:r w:rsidR="00F912AB" w:rsidRPr="00BD34F5">
        <w:rPr>
          <w:sz w:val="20"/>
          <w:szCs w:val="20"/>
        </w:rPr>
        <w:t>Lo</w:t>
      </w:r>
      <w:r w:rsidRPr="00BD34F5">
        <w:rPr>
          <w:sz w:val="20"/>
          <w:szCs w:val="20"/>
        </w:rPr>
        <w:t xml:space="preserve">s recursos trasferidos a los </w:t>
      </w:r>
      <w:proofErr w:type="spellStart"/>
      <w:r w:rsidRPr="00BD34F5">
        <w:rPr>
          <w:sz w:val="20"/>
          <w:szCs w:val="20"/>
        </w:rPr>
        <w:t>OPD’s</w:t>
      </w:r>
      <w:proofErr w:type="spellEnd"/>
      <w:r w:rsidR="00F912AB" w:rsidRPr="00BD34F5">
        <w:rPr>
          <w:sz w:val="20"/>
          <w:szCs w:val="20"/>
        </w:rPr>
        <w:t>, se</w:t>
      </w:r>
      <w:r w:rsidRPr="00BD34F5">
        <w:rPr>
          <w:sz w:val="20"/>
          <w:szCs w:val="20"/>
        </w:rPr>
        <w:t xml:space="preserve"> </w:t>
      </w:r>
      <w:r w:rsidR="00F912AB" w:rsidRPr="00BD34F5">
        <w:rPr>
          <w:sz w:val="20"/>
          <w:szCs w:val="20"/>
        </w:rPr>
        <w:t>reportan ejercidos para</w:t>
      </w:r>
      <w:r w:rsidR="00BD34F5">
        <w:rPr>
          <w:sz w:val="20"/>
          <w:szCs w:val="20"/>
        </w:rPr>
        <w:t xml:space="preserve"> el Estado, pero dentro del OPD</w:t>
      </w:r>
      <w:r w:rsidR="00F912AB" w:rsidRPr="00BD34F5">
        <w:rPr>
          <w:sz w:val="20"/>
          <w:szCs w:val="20"/>
        </w:rPr>
        <w:t xml:space="preserve"> tiene su propio proceso de ejercicio.</w:t>
      </w:r>
    </w:p>
    <w:p w:rsidR="00F912AB" w:rsidRDefault="00F912AB" w:rsidP="00A52E53">
      <w:pPr>
        <w:rPr>
          <w:sz w:val="24"/>
        </w:rPr>
      </w:pPr>
    </w:p>
    <w:p w:rsidR="003073DB" w:rsidRPr="001D4C3A" w:rsidRDefault="00F912AB" w:rsidP="005D6731">
      <w:pPr>
        <w:jc w:val="both"/>
        <w:rPr>
          <w:sz w:val="24"/>
        </w:rPr>
      </w:pPr>
      <w:r>
        <w:rPr>
          <w:sz w:val="24"/>
        </w:rPr>
        <w:t xml:space="preserve">Las asignaciones para salud </w:t>
      </w:r>
      <w:r w:rsidR="005D6731">
        <w:rPr>
          <w:sz w:val="24"/>
        </w:rPr>
        <w:t xml:space="preserve">se </w:t>
      </w:r>
      <w:r>
        <w:rPr>
          <w:sz w:val="24"/>
        </w:rPr>
        <w:t>considera</w:t>
      </w:r>
      <w:r w:rsidR="005D6731">
        <w:rPr>
          <w:sz w:val="24"/>
        </w:rPr>
        <w:t>ron para 7 meses (abril- octubre) por lo que el avance corresponde a las compras realizadas para l</w:t>
      </w:r>
      <w:r w:rsidR="0083274E">
        <w:rPr>
          <w:sz w:val="24"/>
        </w:rPr>
        <w:t xml:space="preserve">os primeros </w:t>
      </w:r>
      <w:r w:rsidR="005D6731">
        <w:rPr>
          <w:sz w:val="24"/>
        </w:rPr>
        <w:t>dos o tres meses, durante el mes de junio se concretan las adquisiciones para los meses futuros.</w:t>
      </w:r>
    </w:p>
    <w:p w:rsidR="003073DB" w:rsidRDefault="003073DB" w:rsidP="005D6731">
      <w:pPr>
        <w:jc w:val="both"/>
        <w:rPr>
          <w:b/>
          <w:sz w:val="24"/>
        </w:rPr>
      </w:pPr>
    </w:p>
    <w:p w:rsidR="00D60336" w:rsidRPr="001B366B" w:rsidRDefault="00D60336" w:rsidP="005D6731">
      <w:pPr>
        <w:jc w:val="both"/>
        <w:rPr>
          <w:b/>
          <w:sz w:val="24"/>
        </w:rPr>
      </w:pPr>
      <w:r w:rsidRPr="001B366B">
        <w:rPr>
          <w:b/>
          <w:sz w:val="24"/>
        </w:rPr>
        <w:t xml:space="preserve">Detalles de Asignaciones en Economía </w:t>
      </w:r>
    </w:p>
    <w:p w:rsidR="00D60336" w:rsidRDefault="00D60336" w:rsidP="005D6731">
      <w:pPr>
        <w:jc w:val="both"/>
        <w:rPr>
          <w:sz w:val="24"/>
        </w:rPr>
      </w:pPr>
    </w:p>
    <w:tbl>
      <w:tblPr>
        <w:tblW w:w="8280" w:type="dxa"/>
        <w:tblCellMar>
          <w:left w:w="70" w:type="dxa"/>
          <w:right w:w="70" w:type="dxa"/>
        </w:tblCellMar>
        <w:tblLook w:val="04A0" w:firstRow="1" w:lastRow="0" w:firstColumn="1" w:lastColumn="0" w:noHBand="0" w:noVBand="1"/>
      </w:tblPr>
      <w:tblGrid>
        <w:gridCol w:w="560"/>
        <w:gridCol w:w="3489"/>
        <w:gridCol w:w="1036"/>
        <w:gridCol w:w="900"/>
        <w:gridCol w:w="960"/>
        <w:gridCol w:w="742"/>
        <w:gridCol w:w="593"/>
      </w:tblGrid>
      <w:tr w:rsidR="00D60336" w:rsidRPr="00D60336" w:rsidTr="00D60336">
        <w:trPr>
          <w:trHeight w:val="465"/>
        </w:trPr>
        <w:tc>
          <w:tcPr>
            <w:tcW w:w="5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D60336" w:rsidRPr="00D60336" w:rsidRDefault="00D60336" w:rsidP="00D60336">
            <w:pPr>
              <w:widowControl/>
              <w:autoSpaceDE/>
              <w:autoSpaceDN/>
              <w:jc w:val="center"/>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UP</w:t>
            </w:r>
          </w:p>
        </w:tc>
        <w:tc>
          <w:tcPr>
            <w:tcW w:w="3580" w:type="dxa"/>
            <w:tcBorders>
              <w:top w:val="single" w:sz="4" w:space="0" w:color="auto"/>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 xml:space="preserve">Programas </w:t>
            </w:r>
          </w:p>
        </w:tc>
        <w:tc>
          <w:tcPr>
            <w:tcW w:w="1040" w:type="dxa"/>
            <w:tcBorders>
              <w:top w:val="single" w:sz="4" w:space="0" w:color="auto"/>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center"/>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Programas</w:t>
            </w:r>
          </w:p>
        </w:tc>
        <w:tc>
          <w:tcPr>
            <w:tcW w:w="900" w:type="dxa"/>
            <w:tcBorders>
              <w:top w:val="single" w:sz="4" w:space="0" w:color="auto"/>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center"/>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Indirectos</w:t>
            </w:r>
          </w:p>
        </w:tc>
        <w:tc>
          <w:tcPr>
            <w:tcW w:w="960" w:type="dxa"/>
            <w:tcBorders>
              <w:top w:val="single" w:sz="4" w:space="0" w:color="auto"/>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center"/>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 xml:space="preserve">Asignación Total </w:t>
            </w:r>
          </w:p>
        </w:tc>
        <w:tc>
          <w:tcPr>
            <w:tcW w:w="720" w:type="dxa"/>
            <w:tcBorders>
              <w:top w:val="single" w:sz="4" w:space="0" w:color="auto"/>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center"/>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 xml:space="preserve">Ejercido </w:t>
            </w:r>
          </w:p>
        </w:tc>
        <w:tc>
          <w:tcPr>
            <w:tcW w:w="520" w:type="dxa"/>
            <w:tcBorders>
              <w:top w:val="single" w:sz="4" w:space="0" w:color="auto"/>
              <w:left w:val="nil"/>
              <w:bottom w:val="single" w:sz="4" w:space="0" w:color="auto"/>
              <w:right w:val="single" w:sz="4" w:space="0" w:color="auto"/>
            </w:tcBorders>
            <w:shd w:val="clear" w:color="000000" w:fill="E7E6E6"/>
            <w:noWrap/>
            <w:vAlign w:val="bottom"/>
            <w:hideMark/>
          </w:tcPr>
          <w:p w:rsidR="00D60336" w:rsidRPr="00D60336" w:rsidRDefault="00D60336" w:rsidP="00D60336">
            <w:pPr>
              <w:widowControl/>
              <w:autoSpaceDE/>
              <w:autoSpaceDN/>
              <w:jc w:val="center"/>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w:t>
            </w:r>
          </w:p>
        </w:tc>
      </w:tr>
      <w:tr w:rsidR="00D60336" w:rsidRPr="00D60336" w:rsidTr="00D60336">
        <w:trPr>
          <w:trHeight w:val="38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10</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 xml:space="preserve">Apoyo para Protección del Ingreso de Ejidos </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0.21</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 </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0.21</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0.00</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w:t>
            </w:r>
          </w:p>
        </w:tc>
      </w:tr>
      <w:tr w:rsidR="00D60336" w:rsidRPr="00D60336" w:rsidTr="00D60336">
        <w:trPr>
          <w:trHeight w:val="3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12</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F169A1" w:rsidP="00D60336">
            <w:pPr>
              <w:widowControl/>
              <w:autoSpaceDE/>
              <w:autoSpaceDN/>
              <w:rPr>
                <w:rFonts w:eastAsia="Times New Roman"/>
                <w:color w:val="000000"/>
                <w:sz w:val="18"/>
                <w:szCs w:val="18"/>
                <w:lang w:val="es-MX" w:eastAsia="es-MX" w:bidi="ar-SA"/>
              </w:rPr>
            </w:pPr>
            <w:r>
              <w:rPr>
                <w:rFonts w:eastAsia="Times New Roman"/>
                <w:color w:val="000000"/>
                <w:sz w:val="18"/>
                <w:szCs w:val="18"/>
                <w:lang w:val="es-MX" w:eastAsia="es-MX" w:bidi="ar-SA"/>
              </w:rPr>
              <w:t>Licencias Zoom p</w:t>
            </w:r>
            <w:r w:rsidR="00D60336" w:rsidRPr="00D60336">
              <w:rPr>
                <w:rFonts w:eastAsia="Times New Roman"/>
                <w:color w:val="000000"/>
                <w:sz w:val="18"/>
                <w:szCs w:val="18"/>
                <w:lang w:val="es-MX" w:eastAsia="es-MX" w:bidi="ar-SA"/>
              </w:rPr>
              <w:t xml:space="preserve">ara operación de Programas </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0.34</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0.34</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0.00</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w:t>
            </w:r>
          </w:p>
        </w:tc>
      </w:tr>
      <w:tr w:rsidR="00D60336" w:rsidRPr="00D60336" w:rsidTr="00D60336">
        <w:trPr>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14</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 xml:space="preserve">Jalisco Te Respalda  /Ingresos para trabajadores informales </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1B366B">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6</w:t>
            </w:r>
            <w:r w:rsidR="001B366B">
              <w:rPr>
                <w:rFonts w:eastAsia="Times New Roman"/>
                <w:color w:val="000000"/>
                <w:sz w:val="18"/>
                <w:szCs w:val="18"/>
                <w:lang w:val="es-MX" w:eastAsia="es-MX" w:bidi="ar-SA"/>
              </w:rPr>
              <w:t>6</w:t>
            </w:r>
            <w:r w:rsidRPr="00D60336">
              <w:rPr>
                <w:rFonts w:eastAsia="Times New Roman"/>
                <w:color w:val="000000"/>
                <w:sz w:val="18"/>
                <w:szCs w:val="18"/>
                <w:lang w:val="es-MX" w:eastAsia="es-MX"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6.00</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1B366B">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6</w:t>
            </w:r>
            <w:r w:rsidR="001B366B">
              <w:rPr>
                <w:rFonts w:eastAsia="Times New Roman"/>
                <w:b/>
                <w:bCs/>
                <w:color w:val="000000"/>
                <w:sz w:val="18"/>
                <w:szCs w:val="18"/>
                <w:lang w:val="es-MX" w:eastAsia="es-MX" w:bidi="ar-SA"/>
              </w:rPr>
              <w:t>6</w:t>
            </w:r>
            <w:r w:rsidRPr="00D60336">
              <w:rPr>
                <w:rFonts w:eastAsia="Times New Roman"/>
                <w:b/>
                <w:bCs/>
                <w:color w:val="000000"/>
                <w:sz w:val="18"/>
                <w:szCs w:val="18"/>
                <w:lang w:val="es-MX" w:eastAsia="es-MX" w:bidi="ar-SA"/>
              </w:rPr>
              <w:t>6.00</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Pr>
                <w:rFonts w:eastAsia="Times New Roman"/>
                <w:b/>
                <w:bCs/>
                <w:color w:val="000000"/>
                <w:sz w:val="18"/>
                <w:szCs w:val="18"/>
                <w:lang w:val="es-MX" w:eastAsia="es-MX" w:bidi="ar-SA"/>
              </w:rPr>
              <w:t>597.97</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Pr>
                <w:rFonts w:eastAsia="Times New Roman"/>
                <w:b/>
                <w:bCs/>
                <w:color w:val="000000"/>
                <w:sz w:val="18"/>
                <w:szCs w:val="18"/>
                <w:lang w:val="es-MX" w:eastAsia="es-MX" w:bidi="ar-SA"/>
              </w:rPr>
              <w:t>98.7</w:t>
            </w:r>
            <w:r w:rsidRPr="00D60336">
              <w:rPr>
                <w:rFonts w:eastAsia="Times New Roman"/>
                <w:b/>
                <w:bCs/>
                <w:color w:val="000000"/>
                <w:sz w:val="18"/>
                <w:szCs w:val="18"/>
                <w:lang w:val="es-MX" w:eastAsia="es-MX" w:bidi="ar-SA"/>
              </w:rPr>
              <w:t>%</w:t>
            </w:r>
          </w:p>
        </w:tc>
      </w:tr>
      <w:tr w:rsidR="00D60336" w:rsidRPr="00D60336" w:rsidTr="00D60336">
        <w:trPr>
          <w:trHeight w:val="36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9</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 xml:space="preserve">Protección a Precios de Maíz </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150.00</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3.00</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153.00</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0.00</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w:t>
            </w:r>
          </w:p>
        </w:tc>
      </w:tr>
      <w:tr w:rsidR="00D60336" w:rsidRPr="00D60336" w:rsidTr="00D60336">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3</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42431F" w:rsidP="00D60336">
            <w:pPr>
              <w:widowControl/>
              <w:autoSpaceDE/>
              <w:autoSpaceDN/>
              <w:rPr>
                <w:rFonts w:eastAsia="Times New Roman"/>
                <w:color w:val="000000"/>
                <w:sz w:val="18"/>
                <w:szCs w:val="18"/>
                <w:lang w:val="es-MX" w:eastAsia="es-MX" w:bidi="ar-SA"/>
              </w:rPr>
            </w:pPr>
            <w:r>
              <w:rPr>
                <w:rFonts w:eastAsia="Times New Roman"/>
                <w:color w:val="000000"/>
                <w:sz w:val="18"/>
                <w:szCs w:val="18"/>
                <w:lang w:val="es-MX" w:eastAsia="es-MX" w:bidi="ar-SA"/>
              </w:rPr>
              <w:t>Secretaria de Hacienda. Programas de apoyo a dependencias varias y municipios.</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50.00</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3.60</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53.60</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0.00</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w:t>
            </w:r>
          </w:p>
        </w:tc>
      </w:tr>
      <w:tr w:rsidR="00D60336" w:rsidRPr="00D60336" w:rsidTr="00D60336">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7</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Programas de Reactivación Económica</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520.00</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0.72</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520.72</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0.00</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0.0%</w:t>
            </w:r>
          </w:p>
        </w:tc>
      </w:tr>
      <w:tr w:rsidR="00D60336" w:rsidRPr="00D60336" w:rsidTr="00D60336">
        <w:trPr>
          <w:trHeight w:val="39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7</w:t>
            </w:r>
          </w:p>
        </w:tc>
        <w:tc>
          <w:tcPr>
            <w:tcW w:w="358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rPr>
                <w:rFonts w:eastAsia="Times New Roman"/>
                <w:color w:val="000000"/>
                <w:sz w:val="18"/>
                <w:szCs w:val="18"/>
                <w:lang w:val="es-MX" w:eastAsia="es-MX" w:bidi="ar-SA"/>
              </w:rPr>
            </w:pPr>
            <w:r w:rsidRPr="00D60336">
              <w:rPr>
                <w:rFonts w:eastAsia="Times New Roman"/>
                <w:color w:val="000000"/>
                <w:sz w:val="18"/>
                <w:szCs w:val="18"/>
                <w:lang w:val="es-MX" w:eastAsia="es-MX" w:bidi="ar-SA"/>
              </w:rPr>
              <w:t xml:space="preserve">Protección al Empleo Formal </w:t>
            </w:r>
          </w:p>
        </w:tc>
        <w:tc>
          <w:tcPr>
            <w:tcW w:w="1040" w:type="dxa"/>
            <w:tcBorders>
              <w:top w:val="nil"/>
              <w:left w:val="nil"/>
              <w:bottom w:val="single" w:sz="4" w:space="0" w:color="auto"/>
              <w:right w:val="single" w:sz="4" w:space="0" w:color="auto"/>
            </w:tcBorders>
            <w:shd w:val="clear" w:color="auto" w:fill="auto"/>
            <w:vAlign w:val="center"/>
            <w:hideMark/>
          </w:tcPr>
          <w:p w:rsidR="00D60336" w:rsidRPr="00D60336" w:rsidRDefault="001B366B" w:rsidP="00D60336">
            <w:pPr>
              <w:widowControl/>
              <w:autoSpaceDE/>
              <w:autoSpaceDN/>
              <w:jc w:val="right"/>
              <w:rPr>
                <w:rFonts w:eastAsia="Times New Roman"/>
                <w:color w:val="000000"/>
                <w:sz w:val="18"/>
                <w:szCs w:val="18"/>
                <w:lang w:val="es-MX" w:eastAsia="es-MX" w:bidi="ar-SA"/>
              </w:rPr>
            </w:pPr>
            <w:r>
              <w:rPr>
                <w:rFonts w:eastAsia="Times New Roman"/>
                <w:color w:val="000000"/>
                <w:sz w:val="18"/>
                <w:szCs w:val="18"/>
                <w:lang w:val="es-MX" w:eastAsia="es-MX" w:bidi="ar-SA"/>
              </w:rPr>
              <w:t>390</w:t>
            </w:r>
            <w:r w:rsidR="00D60336" w:rsidRPr="00D60336">
              <w:rPr>
                <w:rFonts w:eastAsia="Times New Roman"/>
                <w:color w:val="000000"/>
                <w:sz w:val="18"/>
                <w:szCs w:val="18"/>
                <w:lang w:val="es-MX" w:eastAsia="es-MX" w:bidi="ar-SA"/>
              </w:rPr>
              <w:t>.00</w:t>
            </w:r>
          </w:p>
        </w:tc>
        <w:tc>
          <w:tcPr>
            <w:tcW w:w="90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color w:val="000000"/>
                <w:sz w:val="18"/>
                <w:szCs w:val="18"/>
                <w:lang w:val="es-MX" w:eastAsia="es-MX" w:bidi="ar-SA"/>
              </w:rPr>
            </w:pPr>
            <w:r w:rsidRPr="00D60336">
              <w:rPr>
                <w:rFonts w:eastAsia="Times New Roman"/>
                <w:color w:val="000000"/>
                <w:sz w:val="18"/>
                <w:szCs w:val="18"/>
                <w:lang w:val="es-MX" w:eastAsia="es-MX" w:bidi="ar-SA"/>
              </w:rPr>
              <w:t>2.72</w:t>
            </w:r>
          </w:p>
        </w:tc>
        <w:tc>
          <w:tcPr>
            <w:tcW w:w="960" w:type="dxa"/>
            <w:tcBorders>
              <w:top w:val="nil"/>
              <w:left w:val="nil"/>
              <w:bottom w:val="single" w:sz="4" w:space="0" w:color="auto"/>
              <w:right w:val="single" w:sz="4" w:space="0" w:color="auto"/>
            </w:tcBorders>
            <w:shd w:val="clear" w:color="auto" w:fill="auto"/>
            <w:vAlign w:val="center"/>
            <w:hideMark/>
          </w:tcPr>
          <w:p w:rsidR="00D60336" w:rsidRPr="00D60336" w:rsidRDefault="00C2725A" w:rsidP="00D60336">
            <w:pPr>
              <w:widowControl/>
              <w:autoSpaceDE/>
              <w:autoSpaceDN/>
              <w:jc w:val="right"/>
              <w:rPr>
                <w:rFonts w:eastAsia="Times New Roman"/>
                <w:b/>
                <w:bCs/>
                <w:color w:val="000000"/>
                <w:sz w:val="18"/>
                <w:szCs w:val="18"/>
                <w:lang w:val="es-MX" w:eastAsia="es-MX" w:bidi="ar-SA"/>
              </w:rPr>
            </w:pPr>
            <w:r>
              <w:rPr>
                <w:rFonts w:eastAsia="Times New Roman"/>
                <w:b/>
                <w:bCs/>
                <w:color w:val="000000"/>
                <w:sz w:val="18"/>
                <w:szCs w:val="18"/>
                <w:lang w:val="es-MX" w:eastAsia="es-MX" w:bidi="ar-SA"/>
              </w:rPr>
              <w:t>39</w:t>
            </w:r>
            <w:r w:rsidR="00D60336" w:rsidRPr="00D60336">
              <w:rPr>
                <w:rFonts w:eastAsia="Times New Roman"/>
                <w:b/>
                <w:bCs/>
                <w:color w:val="000000"/>
                <w:sz w:val="18"/>
                <w:szCs w:val="18"/>
                <w:lang w:val="es-MX" w:eastAsia="es-MX" w:bidi="ar-SA"/>
              </w:rPr>
              <w:t>2.72</w:t>
            </w:r>
          </w:p>
        </w:tc>
        <w:tc>
          <w:tcPr>
            <w:tcW w:w="720" w:type="dxa"/>
            <w:tcBorders>
              <w:top w:val="nil"/>
              <w:left w:val="nil"/>
              <w:bottom w:val="single" w:sz="4" w:space="0" w:color="auto"/>
              <w:right w:val="single" w:sz="4" w:space="0" w:color="auto"/>
            </w:tcBorders>
            <w:shd w:val="clear" w:color="auto" w:fill="auto"/>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199.96</w:t>
            </w:r>
          </w:p>
        </w:tc>
        <w:tc>
          <w:tcPr>
            <w:tcW w:w="520" w:type="dxa"/>
            <w:tcBorders>
              <w:top w:val="nil"/>
              <w:left w:val="nil"/>
              <w:bottom w:val="single" w:sz="4" w:space="0" w:color="auto"/>
              <w:right w:val="single" w:sz="4" w:space="0" w:color="auto"/>
            </w:tcBorders>
            <w:shd w:val="clear" w:color="auto" w:fill="auto"/>
            <w:noWrap/>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44.2%</w:t>
            </w:r>
          </w:p>
        </w:tc>
      </w:tr>
      <w:tr w:rsidR="00D60336" w:rsidRPr="00D60336" w:rsidTr="00D60336">
        <w:trPr>
          <w:trHeight w:val="570"/>
        </w:trPr>
        <w:tc>
          <w:tcPr>
            <w:tcW w:w="560" w:type="dxa"/>
            <w:tcBorders>
              <w:top w:val="nil"/>
              <w:left w:val="single" w:sz="4" w:space="0" w:color="auto"/>
              <w:bottom w:val="single" w:sz="4" w:space="0" w:color="auto"/>
              <w:right w:val="single" w:sz="4" w:space="0" w:color="auto"/>
            </w:tcBorders>
            <w:shd w:val="clear" w:color="000000" w:fill="E7E6E6"/>
            <w:noWrap/>
            <w:vAlign w:val="center"/>
            <w:hideMark/>
          </w:tcPr>
          <w:p w:rsidR="00D60336" w:rsidRPr="00D60336" w:rsidRDefault="00D60336" w:rsidP="00D60336">
            <w:pPr>
              <w:widowControl/>
              <w:autoSpaceDE/>
              <w:autoSpaceDN/>
              <w:jc w:val="center"/>
              <w:rPr>
                <w:rFonts w:eastAsia="Times New Roman"/>
                <w:color w:val="000000"/>
                <w:sz w:val="18"/>
                <w:szCs w:val="18"/>
                <w:lang w:val="es-MX" w:eastAsia="es-MX" w:bidi="ar-SA"/>
              </w:rPr>
            </w:pPr>
            <w:r w:rsidRPr="00D60336">
              <w:rPr>
                <w:rFonts w:eastAsia="Times New Roman"/>
                <w:color w:val="000000"/>
                <w:sz w:val="18"/>
                <w:szCs w:val="18"/>
                <w:lang w:val="es-MX" w:eastAsia="es-MX" w:bidi="ar-SA"/>
              </w:rPr>
              <w:t> </w:t>
            </w:r>
          </w:p>
        </w:tc>
        <w:tc>
          <w:tcPr>
            <w:tcW w:w="3580" w:type="dxa"/>
            <w:tcBorders>
              <w:top w:val="nil"/>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 xml:space="preserve">Total </w:t>
            </w:r>
          </w:p>
        </w:tc>
        <w:tc>
          <w:tcPr>
            <w:tcW w:w="1040" w:type="dxa"/>
            <w:tcBorders>
              <w:top w:val="nil"/>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1</w:t>
            </w:r>
            <w:r w:rsidR="001B366B">
              <w:rPr>
                <w:rFonts w:eastAsia="Times New Roman"/>
                <w:b/>
                <w:bCs/>
                <w:color w:val="000000"/>
                <w:sz w:val="18"/>
                <w:szCs w:val="18"/>
                <w:lang w:val="es-MX" w:eastAsia="es-MX" w:bidi="ar-SA"/>
              </w:rPr>
              <w:t>,</w:t>
            </w:r>
            <w:r w:rsidRPr="00D60336">
              <w:rPr>
                <w:rFonts w:eastAsia="Times New Roman"/>
                <w:b/>
                <w:bCs/>
                <w:color w:val="000000"/>
                <w:sz w:val="18"/>
                <w:szCs w:val="18"/>
                <w:lang w:val="es-MX" w:eastAsia="es-MX" w:bidi="ar-SA"/>
              </w:rPr>
              <w:t>770.21</w:t>
            </w:r>
          </w:p>
        </w:tc>
        <w:tc>
          <w:tcPr>
            <w:tcW w:w="900" w:type="dxa"/>
            <w:tcBorders>
              <w:top w:val="nil"/>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16.38</w:t>
            </w:r>
          </w:p>
        </w:tc>
        <w:tc>
          <w:tcPr>
            <w:tcW w:w="960" w:type="dxa"/>
            <w:tcBorders>
              <w:top w:val="nil"/>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1</w:t>
            </w:r>
            <w:r w:rsidR="001B366B">
              <w:rPr>
                <w:rFonts w:eastAsia="Times New Roman"/>
                <w:b/>
                <w:bCs/>
                <w:color w:val="000000"/>
                <w:sz w:val="18"/>
                <w:szCs w:val="18"/>
                <w:lang w:val="es-MX" w:eastAsia="es-MX" w:bidi="ar-SA"/>
              </w:rPr>
              <w:t>,</w:t>
            </w:r>
            <w:r w:rsidRPr="00D60336">
              <w:rPr>
                <w:rFonts w:eastAsia="Times New Roman"/>
                <w:b/>
                <w:bCs/>
                <w:color w:val="000000"/>
                <w:sz w:val="18"/>
                <w:szCs w:val="18"/>
                <w:lang w:val="es-MX" w:eastAsia="es-MX" w:bidi="ar-SA"/>
              </w:rPr>
              <w:t>786.59</w:t>
            </w:r>
          </w:p>
        </w:tc>
        <w:tc>
          <w:tcPr>
            <w:tcW w:w="720" w:type="dxa"/>
            <w:tcBorders>
              <w:top w:val="nil"/>
              <w:left w:val="nil"/>
              <w:bottom w:val="single" w:sz="4" w:space="0" w:color="auto"/>
              <w:right w:val="single" w:sz="4" w:space="0" w:color="auto"/>
            </w:tcBorders>
            <w:shd w:val="clear" w:color="000000" w:fill="E7E6E6"/>
            <w:vAlign w:val="center"/>
            <w:hideMark/>
          </w:tcPr>
          <w:p w:rsidR="00D60336" w:rsidRPr="00D60336" w:rsidRDefault="00D60336" w:rsidP="00D60336">
            <w:pPr>
              <w:widowControl/>
              <w:autoSpaceDE/>
              <w:autoSpaceDN/>
              <w:jc w:val="right"/>
              <w:rPr>
                <w:rFonts w:eastAsia="Times New Roman"/>
                <w:b/>
                <w:bCs/>
                <w:color w:val="000000"/>
                <w:sz w:val="18"/>
                <w:szCs w:val="18"/>
                <w:lang w:val="es-MX" w:eastAsia="es-MX" w:bidi="ar-SA"/>
              </w:rPr>
            </w:pPr>
            <w:r w:rsidRPr="00D60336">
              <w:rPr>
                <w:rFonts w:eastAsia="Times New Roman"/>
                <w:b/>
                <w:bCs/>
                <w:color w:val="000000"/>
                <w:sz w:val="18"/>
                <w:szCs w:val="18"/>
                <w:lang w:val="es-MX" w:eastAsia="es-MX" w:bidi="ar-SA"/>
              </w:rPr>
              <w:t>797.</w:t>
            </w:r>
            <w:r>
              <w:rPr>
                <w:rFonts w:eastAsia="Times New Roman"/>
                <w:b/>
                <w:bCs/>
                <w:color w:val="000000"/>
                <w:sz w:val="18"/>
                <w:szCs w:val="18"/>
                <w:lang w:val="es-MX" w:eastAsia="es-MX" w:bidi="ar-SA"/>
              </w:rPr>
              <w:t>93</w:t>
            </w:r>
          </w:p>
        </w:tc>
        <w:tc>
          <w:tcPr>
            <w:tcW w:w="520" w:type="dxa"/>
            <w:tcBorders>
              <w:top w:val="nil"/>
              <w:left w:val="nil"/>
              <w:bottom w:val="single" w:sz="4" w:space="0" w:color="auto"/>
              <w:right w:val="single" w:sz="4" w:space="0" w:color="auto"/>
            </w:tcBorders>
            <w:shd w:val="clear" w:color="000000" w:fill="E7E6E6"/>
            <w:noWrap/>
            <w:vAlign w:val="center"/>
            <w:hideMark/>
          </w:tcPr>
          <w:p w:rsidR="00D60336" w:rsidRPr="00D60336" w:rsidRDefault="00D60336" w:rsidP="00D60336">
            <w:pPr>
              <w:widowControl/>
              <w:autoSpaceDE/>
              <w:autoSpaceDN/>
              <w:jc w:val="right"/>
              <w:rPr>
                <w:rFonts w:eastAsia="Times New Roman"/>
                <w:b/>
                <w:bCs/>
                <w:sz w:val="18"/>
                <w:szCs w:val="18"/>
                <w:lang w:val="es-MX" w:eastAsia="es-MX" w:bidi="ar-SA"/>
              </w:rPr>
            </w:pPr>
            <w:r w:rsidRPr="00D60336">
              <w:rPr>
                <w:rFonts w:eastAsia="Times New Roman"/>
                <w:b/>
                <w:bCs/>
                <w:sz w:val="18"/>
                <w:szCs w:val="18"/>
                <w:lang w:val="es-MX" w:eastAsia="es-MX" w:bidi="ar-SA"/>
              </w:rPr>
              <w:t>44.7%</w:t>
            </w:r>
          </w:p>
        </w:tc>
      </w:tr>
    </w:tbl>
    <w:p w:rsidR="00D60336" w:rsidRPr="001B366B" w:rsidRDefault="001B366B" w:rsidP="005D6731">
      <w:pPr>
        <w:jc w:val="both"/>
        <w:rPr>
          <w:sz w:val="20"/>
          <w:szCs w:val="20"/>
        </w:rPr>
      </w:pPr>
      <w:r w:rsidRPr="001B366B">
        <w:rPr>
          <w:sz w:val="20"/>
          <w:szCs w:val="20"/>
        </w:rPr>
        <w:t>Millones de pesos.</w:t>
      </w:r>
    </w:p>
    <w:p w:rsidR="001B366B" w:rsidRDefault="001B366B" w:rsidP="005D6731">
      <w:pPr>
        <w:jc w:val="both"/>
        <w:rPr>
          <w:sz w:val="24"/>
        </w:rPr>
      </w:pPr>
    </w:p>
    <w:p w:rsidR="003073DB" w:rsidRDefault="003073DB" w:rsidP="003073DB">
      <w:pPr>
        <w:jc w:val="both"/>
        <w:rPr>
          <w:sz w:val="24"/>
        </w:rPr>
      </w:pPr>
      <w:r>
        <w:rPr>
          <w:sz w:val="24"/>
        </w:rPr>
        <w:lastRenderedPageBreak/>
        <w:t>Hay</w:t>
      </w:r>
      <w:r>
        <w:rPr>
          <w:sz w:val="24"/>
        </w:rPr>
        <w:t xml:space="preserve"> que considerar que las asignaciones para programas económicos por 520 </w:t>
      </w:r>
      <w:proofErr w:type="spellStart"/>
      <w:r>
        <w:rPr>
          <w:sz w:val="24"/>
        </w:rPr>
        <w:t>mdp</w:t>
      </w:r>
      <w:proofErr w:type="spellEnd"/>
      <w:r>
        <w:rPr>
          <w:sz w:val="24"/>
        </w:rPr>
        <w:t xml:space="preserve">, recientemente asignados y que están en proceso de arrancar, y 150 </w:t>
      </w:r>
      <w:proofErr w:type="spellStart"/>
      <w:r>
        <w:rPr>
          <w:sz w:val="24"/>
        </w:rPr>
        <w:t>mdp</w:t>
      </w:r>
      <w:proofErr w:type="spellEnd"/>
      <w:r>
        <w:rPr>
          <w:sz w:val="24"/>
        </w:rPr>
        <w:t xml:space="preserve"> de Protección de Precios de Maíz que por su naturaleza inicia operación a finales de agosto, reportan avance en “0”, lo que representa el 37.5 % de la asignación autorizada.</w:t>
      </w:r>
    </w:p>
    <w:p w:rsidR="003073DB" w:rsidRDefault="003073DB" w:rsidP="005D6731">
      <w:pPr>
        <w:jc w:val="both"/>
        <w:rPr>
          <w:sz w:val="24"/>
        </w:rPr>
      </w:pPr>
    </w:p>
    <w:p w:rsidR="00D60336" w:rsidRDefault="00D60336" w:rsidP="005D6731">
      <w:pPr>
        <w:jc w:val="both"/>
        <w:rPr>
          <w:sz w:val="24"/>
        </w:rPr>
      </w:pPr>
      <w:r>
        <w:rPr>
          <w:sz w:val="24"/>
        </w:rPr>
        <w:t xml:space="preserve">La asignación de Secretaría de Hacienda, corresponde a </w:t>
      </w:r>
      <w:r w:rsidR="0042431F">
        <w:rPr>
          <w:sz w:val="24"/>
        </w:rPr>
        <w:t xml:space="preserve">apoyos para compra de insumos para municipios, Secretaría de educación para compras de insumos para escuelas y para compra de insumos para el transporte, entre otros. </w:t>
      </w:r>
    </w:p>
    <w:p w:rsidR="0042431F" w:rsidRDefault="0042431F" w:rsidP="005D6731">
      <w:pPr>
        <w:jc w:val="both"/>
        <w:rPr>
          <w:sz w:val="24"/>
        </w:rPr>
      </w:pPr>
    </w:p>
    <w:p w:rsidR="00D60336" w:rsidRDefault="001B366B" w:rsidP="005D6731">
      <w:pPr>
        <w:jc w:val="both"/>
        <w:rPr>
          <w:sz w:val="24"/>
        </w:rPr>
      </w:pPr>
      <w:r>
        <w:rPr>
          <w:sz w:val="24"/>
        </w:rPr>
        <w:t xml:space="preserve">1.25 </w:t>
      </w:r>
      <w:proofErr w:type="spellStart"/>
      <w:r w:rsidR="00727339">
        <w:rPr>
          <w:sz w:val="24"/>
        </w:rPr>
        <w:t>mdp</w:t>
      </w:r>
      <w:proofErr w:type="spellEnd"/>
      <w:r w:rsidR="00727339">
        <w:rPr>
          <w:sz w:val="24"/>
        </w:rPr>
        <w:t xml:space="preserve"> correspondientes a </w:t>
      </w:r>
      <w:r w:rsidR="00D60336">
        <w:rPr>
          <w:sz w:val="24"/>
        </w:rPr>
        <w:t>costo</w:t>
      </w:r>
      <w:r w:rsidR="00727339">
        <w:rPr>
          <w:sz w:val="24"/>
        </w:rPr>
        <w:t>s</w:t>
      </w:r>
      <w:r w:rsidR="00D60336">
        <w:rPr>
          <w:sz w:val="24"/>
        </w:rPr>
        <w:t xml:space="preserve"> de indirectos </w:t>
      </w:r>
      <w:r w:rsidR="00727339">
        <w:rPr>
          <w:sz w:val="24"/>
        </w:rPr>
        <w:t xml:space="preserve">de programas de economía, </w:t>
      </w:r>
      <w:r w:rsidR="00D60336">
        <w:rPr>
          <w:sz w:val="24"/>
        </w:rPr>
        <w:t>se reflejan presupuestalmente en la secretaría de Hacienda.</w:t>
      </w:r>
      <w:r w:rsidR="009D7054">
        <w:rPr>
          <w:sz w:val="24"/>
        </w:rPr>
        <w:t xml:space="preserve"> Las compras se realizan a través de la Secretaría de Administración.</w:t>
      </w:r>
    </w:p>
    <w:p w:rsidR="00F169A1" w:rsidRDefault="00F169A1" w:rsidP="005D6731">
      <w:pPr>
        <w:jc w:val="both"/>
        <w:rPr>
          <w:sz w:val="24"/>
        </w:rPr>
      </w:pPr>
    </w:p>
    <w:p w:rsidR="00F169A1" w:rsidRDefault="00F169A1" w:rsidP="005D6731">
      <w:pPr>
        <w:jc w:val="both"/>
        <w:rPr>
          <w:sz w:val="24"/>
        </w:rPr>
      </w:pPr>
      <w:r>
        <w:rPr>
          <w:sz w:val="24"/>
        </w:rPr>
        <w:t>Estas cifras son el resultado de una valoración inicial de las necesidades. Por ejemplo, es probable que se requiera recurso adicional para compra de más pruebas rápidas que permitan la reactivación económica de manera más segura, así como insumos de salud adicionales, dependiendo de la severidad del impacto de la pandemia sobre la población.</w:t>
      </w:r>
    </w:p>
    <w:p w:rsidR="00E665C5" w:rsidRDefault="00E665C5" w:rsidP="005D6731">
      <w:pPr>
        <w:jc w:val="both"/>
        <w:rPr>
          <w:sz w:val="24"/>
        </w:rPr>
      </w:pPr>
    </w:p>
    <w:p w:rsidR="00E665C5" w:rsidRDefault="00E665C5" w:rsidP="005D6731">
      <w:pPr>
        <w:jc w:val="both"/>
        <w:rPr>
          <w:b/>
          <w:sz w:val="24"/>
        </w:rPr>
      </w:pPr>
      <w:r w:rsidRPr="00E665C5">
        <w:rPr>
          <w:b/>
          <w:sz w:val="24"/>
        </w:rPr>
        <w:t>Conclusiones</w:t>
      </w:r>
    </w:p>
    <w:p w:rsidR="00E665C5" w:rsidRDefault="00E665C5" w:rsidP="005D6731">
      <w:pPr>
        <w:jc w:val="both"/>
        <w:rPr>
          <w:sz w:val="24"/>
        </w:rPr>
      </w:pPr>
      <w:r>
        <w:rPr>
          <w:sz w:val="24"/>
        </w:rPr>
        <w:t xml:space="preserve">En total, se han asignado 3,520 </w:t>
      </w:r>
      <w:proofErr w:type="spellStart"/>
      <w:r>
        <w:rPr>
          <w:sz w:val="24"/>
        </w:rPr>
        <w:t>mdp</w:t>
      </w:r>
      <w:proofErr w:type="spellEnd"/>
      <w:r>
        <w:rPr>
          <w:sz w:val="24"/>
        </w:rPr>
        <w:t xml:space="preserve"> para atender la pandemia de </w:t>
      </w:r>
      <w:proofErr w:type="spellStart"/>
      <w:r>
        <w:rPr>
          <w:sz w:val="24"/>
        </w:rPr>
        <w:t>Covid</w:t>
      </w:r>
      <w:proofErr w:type="spellEnd"/>
      <w:r>
        <w:rPr>
          <w:sz w:val="24"/>
        </w:rPr>
        <w:t xml:space="preserve"> 19. De éstos, 1,660 </w:t>
      </w:r>
      <w:proofErr w:type="spellStart"/>
      <w:r>
        <w:rPr>
          <w:sz w:val="24"/>
        </w:rPr>
        <w:t>mdp</w:t>
      </w:r>
      <w:proofErr w:type="spellEnd"/>
      <w:r>
        <w:rPr>
          <w:sz w:val="24"/>
        </w:rPr>
        <w:t xml:space="preserve"> se asignaron para atender temas de salud, y 1,787 </w:t>
      </w:r>
      <w:proofErr w:type="spellStart"/>
      <w:r>
        <w:rPr>
          <w:sz w:val="24"/>
        </w:rPr>
        <w:t>mdp</w:t>
      </w:r>
      <w:proofErr w:type="spellEnd"/>
      <w:r>
        <w:rPr>
          <w:sz w:val="24"/>
        </w:rPr>
        <w:t xml:space="preserve"> para evitar la pérdida de empleos y ayudar a la reactivación económica del estado. </w:t>
      </w:r>
    </w:p>
    <w:p w:rsidR="00E665C5" w:rsidRDefault="00E665C5" w:rsidP="005D6731">
      <w:pPr>
        <w:jc w:val="both"/>
        <w:rPr>
          <w:sz w:val="24"/>
        </w:rPr>
      </w:pPr>
    </w:p>
    <w:p w:rsidR="00E665C5" w:rsidRDefault="00E665C5" w:rsidP="005D6731">
      <w:pPr>
        <w:jc w:val="both"/>
        <w:rPr>
          <w:sz w:val="24"/>
        </w:rPr>
      </w:pPr>
      <w:r>
        <w:rPr>
          <w:sz w:val="24"/>
        </w:rPr>
        <w:t xml:space="preserve">Del total, al 31 de mayo de este año se habían gastado 1,373 </w:t>
      </w:r>
      <w:proofErr w:type="spellStart"/>
      <w:r>
        <w:rPr>
          <w:sz w:val="24"/>
        </w:rPr>
        <w:t>mdp</w:t>
      </w:r>
      <w:proofErr w:type="spellEnd"/>
      <w:r>
        <w:rPr>
          <w:sz w:val="24"/>
        </w:rPr>
        <w:t xml:space="preserve">. Una vez obtenida la autorización para la modificación presupuestal, anticipamos que el ritmo de gasto aumentará, tanto en salud, como en la aplicación de los programas de reactivación económica. </w:t>
      </w:r>
    </w:p>
    <w:p w:rsidR="000D2265" w:rsidRDefault="000D2265" w:rsidP="005D6731">
      <w:pPr>
        <w:jc w:val="both"/>
        <w:rPr>
          <w:sz w:val="24"/>
        </w:rPr>
      </w:pPr>
    </w:p>
    <w:p w:rsidR="000D2265" w:rsidRPr="00E665C5" w:rsidRDefault="000D2265" w:rsidP="005D6731">
      <w:pPr>
        <w:jc w:val="both"/>
        <w:rPr>
          <w:b/>
          <w:sz w:val="24"/>
        </w:rPr>
      </w:pPr>
      <w:r>
        <w:rPr>
          <w:sz w:val="24"/>
        </w:rPr>
        <w:t>El reequilibri</w:t>
      </w:r>
      <w:r w:rsidR="003073DB">
        <w:rPr>
          <w:sz w:val="24"/>
        </w:rPr>
        <w:t>o de las finanzas</w:t>
      </w:r>
      <w:r>
        <w:rPr>
          <w:sz w:val="24"/>
        </w:rPr>
        <w:t xml:space="preserve"> permitió evitar que el estado p</w:t>
      </w:r>
      <w:r w:rsidR="003073DB">
        <w:rPr>
          <w:sz w:val="24"/>
        </w:rPr>
        <w:t>erdiera capacidad de operación e hizo posible</w:t>
      </w:r>
      <w:r>
        <w:rPr>
          <w:sz w:val="24"/>
        </w:rPr>
        <w:t xml:space="preserve"> que existieran los recursos </w:t>
      </w:r>
      <w:r w:rsidR="003073DB">
        <w:rPr>
          <w:sz w:val="24"/>
        </w:rPr>
        <w:t xml:space="preserve">necesarios </w:t>
      </w:r>
      <w:r>
        <w:rPr>
          <w:sz w:val="24"/>
        </w:rPr>
        <w:t xml:space="preserve">para atender </w:t>
      </w:r>
      <w:r w:rsidR="009E3810">
        <w:rPr>
          <w:sz w:val="24"/>
        </w:rPr>
        <w:t>la pandemia</w:t>
      </w:r>
      <w:r w:rsidR="003073DB">
        <w:rPr>
          <w:sz w:val="24"/>
        </w:rPr>
        <w:t>, incluyendo un ambicioso programa de reconversión hospitalaria</w:t>
      </w:r>
      <w:r w:rsidR="009E3810">
        <w:rPr>
          <w:sz w:val="24"/>
        </w:rPr>
        <w:t xml:space="preserve">. </w:t>
      </w:r>
    </w:p>
    <w:sectPr w:rsidR="000D2265" w:rsidRPr="00E665C5" w:rsidSect="00B43384">
      <w:headerReference w:type="default" r:id="rId9"/>
      <w:footerReference w:type="default" r:id="rId10"/>
      <w:pgSz w:w="12240" w:h="15840"/>
      <w:pgMar w:top="2269" w:right="1560" w:bottom="1418" w:left="1560" w:header="708" w:footer="114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AB7" w:rsidRDefault="004E6AB7">
      <w:r>
        <w:separator/>
      </w:r>
    </w:p>
  </w:endnote>
  <w:endnote w:type="continuationSeparator" w:id="0">
    <w:p w:rsidR="004E6AB7" w:rsidRDefault="004E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AF1" w:rsidRDefault="00185D58">
    <w:pPr>
      <w:pStyle w:val="Textoindependiente"/>
      <w:spacing w:line="14" w:lineRule="auto"/>
      <w:rPr>
        <w:sz w:val="20"/>
      </w:rPr>
    </w:pPr>
    <w:r>
      <w:rPr>
        <w:noProof/>
        <w:lang w:val="es-MX" w:eastAsia="es-MX" w:bidi="ar-SA"/>
      </w:rPr>
      <mc:AlternateContent>
        <mc:Choice Requires="wps">
          <w:drawing>
            <wp:anchor distT="0" distB="0" distL="114300" distR="114300" simplePos="0" relativeHeight="251661312" behindDoc="1" locked="0" layoutInCell="1" allowOverlap="1" wp14:anchorId="4B8DA5DC" wp14:editId="1420D93E">
              <wp:simplePos x="0" y="0"/>
              <wp:positionH relativeFrom="page">
                <wp:posOffset>1062355</wp:posOffset>
              </wp:positionH>
              <wp:positionV relativeFrom="page">
                <wp:posOffset>9334500</wp:posOffset>
              </wp:positionV>
              <wp:extent cx="564896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2404E"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35pt" to="528.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" strokeweight=".48pt">
              <w10:wrap anchorx="page" anchory="page"/>
            </v:line>
          </w:pict>
        </mc:Fallback>
      </mc:AlternateContent>
    </w:r>
    <w:r>
      <w:rPr>
        <w:noProof/>
        <w:lang w:val="es-MX" w:eastAsia="es-MX" w:bidi="ar-SA"/>
      </w:rPr>
      <mc:AlternateContent>
        <mc:Choice Requires="wps">
          <w:drawing>
            <wp:anchor distT="0" distB="0" distL="114300" distR="114300" simplePos="0" relativeHeight="251662336" behindDoc="1" locked="0" layoutInCell="1" allowOverlap="1" wp14:anchorId="4B3ADDB7" wp14:editId="2C58862E">
              <wp:simplePos x="0" y="0"/>
              <wp:positionH relativeFrom="page">
                <wp:posOffset>3308985</wp:posOffset>
              </wp:positionH>
              <wp:positionV relativeFrom="page">
                <wp:posOffset>9191625</wp:posOffset>
              </wp:positionV>
              <wp:extent cx="3395345" cy="1276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F1" w:rsidRDefault="00185D58">
                          <w:pPr>
                            <w:spacing w:line="184" w:lineRule="exact"/>
                            <w:ind w:left="20"/>
                            <w:rPr>
                              <w:b/>
                              <w:sz w:val="16"/>
                            </w:rPr>
                          </w:pPr>
                          <w:r>
                            <w:rPr>
                              <w:b/>
                              <w:sz w:val="16"/>
                            </w:rPr>
                            <w:t>Dirección General de Programación, Presupuesto y Evaluación del Gasto 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ADDB7" id="_x0000_t202" coordsize="21600,21600" o:spt="202" path="m,l,21600r21600,l21600,xe">
              <v:stroke joinstyle="miter"/>
              <v:path gradientshapeok="t" o:connecttype="rect"/>
            </v:shapetype>
            <v:shape id="Text Box 1" o:spid="_x0000_s1027" type="#_x0000_t202" style="position:absolute;margin-left:260.55pt;margin-top:723.75pt;width:267.35pt;height:1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IOsAIAALA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" filled="f" stroked="f">
              <v:textbox inset="0,0,0,0">
                <w:txbxContent>
                  <w:p w:rsidR="00EC6AF1" w:rsidRDefault="00185D58">
                    <w:pPr>
                      <w:spacing w:line="184" w:lineRule="exact"/>
                      <w:ind w:left="20"/>
                      <w:rPr>
                        <w:b/>
                        <w:sz w:val="16"/>
                      </w:rPr>
                    </w:pPr>
                    <w:r>
                      <w:rPr>
                        <w:b/>
                        <w:sz w:val="16"/>
                      </w:rPr>
                      <w:t>Dirección General de Programación, Presupuesto y Evaluación del Gasto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AB7" w:rsidRDefault="004E6AB7">
      <w:r>
        <w:separator/>
      </w:r>
    </w:p>
  </w:footnote>
  <w:footnote w:type="continuationSeparator" w:id="0">
    <w:p w:rsidR="004E6AB7" w:rsidRDefault="004E6A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AF1" w:rsidRDefault="004A11FE">
    <w:pPr>
      <w:pStyle w:val="Textoindependiente"/>
      <w:spacing w:line="14" w:lineRule="auto"/>
      <w:rPr>
        <w:sz w:val="20"/>
      </w:rPr>
    </w:pPr>
    <w:r>
      <w:rPr>
        <w:rFonts w:ascii="Times New Roman"/>
        <w:noProof/>
        <w:sz w:val="2"/>
        <w:lang w:val="es-MX" w:eastAsia="es-MX" w:bidi="ar-SA"/>
      </w:rPr>
      <mc:AlternateContent>
        <mc:Choice Requires="wpg">
          <w:drawing>
            <wp:anchor distT="0" distB="0" distL="114300" distR="114300" simplePos="0" relativeHeight="251663360" behindDoc="0" locked="0" layoutInCell="1" allowOverlap="1" wp14:anchorId="7591C636" wp14:editId="746E006C">
              <wp:simplePos x="0" y="0"/>
              <wp:positionH relativeFrom="column">
                <wp:posOffset>47625</wp:posOffset>
              </wp:positionH>
              <wp:positionV relativeFrom="paragraph">
                <wp:posOffset>963930</wp:posOffset>
              </wp:positionV>
              <wp:extent cx="5648960" cy="6350"/>
              <wp:effectExtent l="0" t="0" r="27940" b="1270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6350"/>
                        <a:chOff x="0" y="0"/>
                        <a:chExt cx="8896" cy="10"/>
                      </a:xfrm>
                    </wpg:grpSpPr>
                    <wps:wsp>
                      <wps:cNvPr id="8" name="Line 3"/>
                      <wps:cNvCnPr/>
                      <wps:spPr bwMode="auto">
                        <a:xfrm>
                          <a:off x="0" y="5"/>
                          <a:ext cx="8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22F4E25" id="Group 2" o:spid="_x0000_s1026" style="position:absolute;margin-left:3.75pt;margin-top:75.9pt;width:444.8pt;height:.5pt;z-index:251663360" coordsize="88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">
              <v:line id="Line 3" o:spid="_x0000_s1027" style="position:absolute;visibility:visible;mso-wrap-style:square" from="0,5" to="88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group>
          </w:pict>
        </mc:Fallback>
      </mc:AlternateContent>
    </w:r>
    <w:r>
      <w:rPr>
        <w:noProof/>
        <w:lang w:val="es-MX" w:eastAsia="es-MX" w:bidi="ar-SA"/>
      </w:rPr>
      <w:drawing>
        <wp:anchor distT="0" distB="0" distL="0" distR="0" simplePos="0" relativeHeight="251659264" behindDoc="0" locked="0" layoutInCell="1" allowOverlap="1" wp14:anchorId="4A605A72" wp14:editId="6D7A9603">
          <wp:simplePos x="0" y="0"/>
          <wp:positionH relativeFrom="margin">
            <wp:align>left</wp:align>
          </wp:positionH>
          <wp:positionV relativeFrom="topMargin">
            <wp:posOffset>205740</wp:posOffset>
          </wp:positionV>
          <wp:extent cx="2085975" cy="857885"/>
          <wp:effectExtent l="0" t="0" r="9525" b="0"/>
          <wp:wrapNone/>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85975" cy="857885"/>
                  </a:xfrm>
                  <a:prstGeom prst="rect">
                    <a:avLst/>
                  </a:prstGeom>
                </pic:spPr>
              </pic:pic>
            </a:graphicData>
          </a:graphic>
        </wp:anchor>
      </w:drawing>
    </w:r>
    <w:r w:rsidR="00185D58">
      <w:rPr>
        <w:noProof/>
        <w:lang w:val="es-MX" w:eastAsia="es-MX" w:bidi="ar-SA"/>
      </w:rPr>
      <mc:AlternateContent>
        <mc:Choice Requires="wps">
          <w:drawing>
            <wp:anchor distT="0" distB="0" distL="114300" distR="114300" simplePos="0" relativeHeight="251660288" behindDoc="1" locked="0" layoutInCell="1" allowOverlap="1" wp14:anchorId="59357281" wp14:editId="72769DB9">
              <wp:simplePos x="0" y="0"/>
              <wp:positionH relativeFrom="page">
                <wp:posOffset>5230495</wp:posOffset>
              </wp:positionH>
              <wp:positionV relativeFrom="page">
                <wp:posOffset>1141730</wp:posOffset>
              </wp:positionV>
              <wp:extent cx="1473200" cy="228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F1" w:rsidRDefault="00185D58">
                          <w:pPr>
                            <w:spacing w:line="345" w:lineRule="exact"/>
                            <w:ind w:left="20"/>
                            <w:rPr>
                              <w:b/>
                              <w:sz w:val="32"/>
                            </w:rPr>
                          </w:pPr>
                          <w:r>
                            <w:rPr>
                              <w:b/>
                              <w:color w:val="DC5E00"/>
                              <w:sz w:val="32"/>
                            </w:rPr>
                            <w:t>Nota Informativa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57281" id="_x0000_t202" coordsize="21600,21600" o:spt="202" path="m,l,21600r21600,l21600,xe">
              <v:stroke joinstyle="miter"/>
              <v:path gradientshapeok="t" o:connecttype="rect"/>
            </v:shapetype>
            <v:shape id="Text Box 3" o:spid="_x0000_s1026" type="#_x0000_t202" style="position:absolute;margin-left:411.85pt;margin-top:89.9pt;width:116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JK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" filled="f" stroked="f">
              <v:textbox inset="0,0,0,0">
                <w:txbxContent>
                  <w:p w:rsidR="00EC6AF1" w:rsidRDefault="00185D58">
                    <w:pPr>
                      <w:spacing w:line="345" w:lineRule="exact"/>
                      <w:ind w:left="20"/>
                      <w:rPr>
                        <w:b/>
                        <w:sz w:val="32"/>
                      </w:rPr>
                    </w:pPr>
                    <w:r>
                      <w:rPr>
                        <w:b/>
                        <w:color w:val="DC5E00"/>
                        <w:sz w:val="32"/>
                      </w:rPr>
                      <w:t>Nota Informativa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46FC"/>
    <w:multiLevelType w:val="hybridMultilevel"/>
    <w:tmpl w:val="F87EC4C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08960F13"/>
    <w:multiLevelType w:val="hybridMultilevel"/>
    <w:tmpl w:val="091AAE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B2667E1"/>
    <w:multiLevelType w:val="multilevel"/>
    <w:tmpl w:val="BDD0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87DE2"/>
    <w:multiLevelType w:val="multilevel"/>
    <w:tmpl w:val="4AF8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93AFC"/>
    <w:multiLevelType w:val="hybridMultilevel"/>
    <w:tmpl w:val="36AAA72E"/>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5" w15:restartNumberingAfterBreak="0">
    <w:nsid w:val="164C061B"/>
    <w:multiLevelType w:val="hybridMultilevel"/>
    <w:tmpl w:val="91304D8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 w15:restartNumberingAfterBreak="0">
    <w:nsid w:val="358902D6"/>
    <w:multiLevelType w:val="hybridMultilevel"/>
    <w:tmpl w:val="BA10AF34"/>
    <w:lvl w:ilvl="0" w:tplc="D33EA724">
      <w:start w:val="1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3FC52AE5"/>
    <w:multiLevelType w:val="hybridMultilevel"/>
    <w:tmpl w:val="ADCCEF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0AE0D02"/>
    <w:multiLevelType w:val="multilevel"/>
    <w:tmpl w:val="589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15E2B"/>
    <w:multiLevelType w:val="hybridMultilevel"/>
    <w:tmpl w:val="CC183D62"/>
    <w:lvl w:ilvl="0" w:tplc="6BEC9EBC">
      <w:start w:val="1"/>
      <w:numFmt w:val="bullet"/>
      <w:lvlText w:val="1"/>
      <w:lvlJc w:val="left"/>
      <w:pPr>
        <w:tabs>
          <w:tab w:val="num" w:pos="720"/>
        </w:tabs>
        <w:ind w:left="720" w:hanging="360"/>
      </w:pPr>
      <w:rPr>
        <w:rFonts w:ascii="Calibri" w:hAnsi="Calibri" w:hint="default"/>
      </w:rPr>
    </w:lvl>
    <w:lvl w:ilvl="1" w:tplc="3F3E9912" w:tentative="1">
      <w:start w:val="1"/>
      <w:numFmt w:val="bullet"/>
      <w:lvlText w:val="1"/>
      <w:lvlJc w:val="left"/>
      <w:pPr>
        <w:tabs>
          <w:tab w:val="num" w:pos="1440"/>
        </w:tabs>
        <w:ind w:left="1440" w:hanging="360"/>
      </w:pPr>
      <w:rPr>
        <w:rFonts w:ascii="Calibri" w:hAnsi="Calibri" w:hint="default"/>
      </w:rPr>
    </w:lvl>
    <w:lvl w:ilvl="2" w:tplc="BC860CDE" w:tentative="1">
      <w:start w:val="1"/>
      <w:numFmt w:val="bullet"/>
      <w:lvlText w:val="1"/>
      <w:lvlJc w:val="left"/>
      <w:pPr>
        <w:tabs>
          <w:tab w:val="num" w:pos="2160"/>
        </w:tabs>
        <w:ind w:left="2160" w:hanging="360"/>
      </w:pPr>
      <w:rPr>
        <w:rFonts w:ascii="Calibri" w:hAnsi="Calibri" w:hint="default"/>
      </w:rPr>
    </w:lvl>
    <w:lvl w:ilvl="3" w:tplc="F6FA5ED2" w:tentative="1">
      <w:start w:val="1"/>
      <w:numFmt w:val="bullet"/>
      <w:lvlText w:val="1"/>
      <w:lvlJc w:val="left"/>
      <w:pPr>
        <w:tabs>
          <w:tab w:val="num" w:pos="2880"/>
        </w:tabs>
        <w:ind w:left="2880" w:hanging="360"/>
      </w:pPr>
      <w:rPr>
        <w:rFonts w:ascii="Calibri" w:hAnsi="Calibri" w:hint="default"/>
      </w:rPr>
    </w:lvl>
    <w:lvl w:ilvl="4" w:tplc="0D8862D2" w:tentative="1">
      <w:start w:val="1"/>
      <w:numFmt w:val="bullet"/>
      <w:lvlText w:val="1"/>
      <w:lvlJc w:val="left"/>
      <w:pPr>
        <w:tabs>
          <w:tab w:val="num" w:pos="3600"/>
        </w:tabs>
        <w:ind w:left="3600" w:hanging="360"/>
      </w:pPr>
      <w:rPr>
        <w:rFonts w:ascii="Calibri" w:hAnsi="Calibri" w:hint="default"/>
      </w:rPr>
    </w:lvl>
    <w:lvl w:ilvl="5" w:tplc="838CFBAA" w:tentative="1">
      <w:start w:val="1"/>
      <w:numFmt w:val="bullet"/>
      <w:lvlText w:val="1"/>
      <w:lvlJc w:val="left"/>
      <w:pPr>
        <w:tabs>
          <w:tab w:val="num" w:pos="4320"/>
        </w:tabs>
        <w:ind w:left="4320" w:hanging="360"/>
      </w:pPr>
      <w:rPr>
        <w:rFonts w:ascii="Calibri" w:hAnsi="Calibri" w:hint="default"/>
      </w:rPr>
    </w:lvl>
    <w:lvl w:ilvl="6" w:tplc="4F1C3442" w:tentative="1">
      <w:start w:val="1"/>
      <w:numFmt w:val="bullet"/>
      <w:lvlText w:val="1"/>
      <w:lvlJc w:val="left"/>
      <w:pPr>
        <w:tabs>
          <w:tab w:val="num" w:pos="5040"/>
        </w:tabs>
        <w:ind w:left="5040" w:hanging="360"/>
      </w:pPr>
      <w:rPr>
        <w:rFonts w:ascii="Calibri" w:hAnsi="Calibri" w:hint="default"/>
      </w:rPr>
    </w:lvl>
    <w:lvl w:ilvl="7" w:tplc="46FCA064" w:tentative="1">
      <w:start w:val="1"/>
      <w:numFmt w:val="bullet"/>
      <w:lvlText w:val="1"/>
      <w:lvlJc w:val="left"/>
      <w:pPr>
        <w:tabs>
          <w:tab w:val="num" w:pos="5760"/>
        </w:tabs>
        <w:ind w:left="5760" w:hanging="360"/>
      </w:pPr>
      <w:rPr>
        <w:rFonts w:ascii="Calibri" w:hAnsi="Calibri" w:hint="default"/>
      </w:rPr>
    </w:lvl>
    <w:lvl w:ilvl="8" w:tplc="C36EF5C0" w:tentative="1">
      <w:start w:val="1"/>
      <w:numFmt w:val="bullet"/>
      <w:lvlText w:val="1"/>
      <w:lvlJc w:val="left"/>
      <w:pPr>
        <w:tabs>
          <w:tab w:val="num" w:pos="6480"/>
        </w:tabs>
        <w:ind w:left="6480" w:hanging="360"/>
      </w:pPr>
      <w:rPr>
        <w:rFonts w:ascii="Calibri" w:hAnsi="Calibri" w:hint="default"/>
      </w:rPr>
    </w:lvl>
  </w:abstractNum>
  <w:abstractNum w:abstractNumId="10" w15:restartNumberingAfterBreak="0">
    <w:nsid w:val="5145161F"/>
    <w:multiLevelType w:val="multilevel"/>
    <w:tmpl w:val="91AA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921DA"/>
    <w:multiLevelType w:val="multilevel"/>
    <w:tmpl w:val="B5CC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67B4D"/>
    <w:multiLevelType w:val="multilevel"/>
    <w:tmpl w:val="F49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54EB3"/>
    <w:multiLevelType w:val="multilevel"/>
    <w:tmpl w:val="C3B4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343D1"/>
    <w:multiLevelType w:val="hybridMultilevel"/>
    <w:tmpl w:val="DD9A0D8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5" w15:restartNumberingAfterBreak="0">
    <w:nsid w:val="75225EBF"/>
    <w:multiLevelType w:val="hybridMultilevel"/>
    <w:tmpl w:val="0842392A"/>
    <w:lvl w:ilvl="0" w:tplc="7F94B4B8">
      <w:start w:val="1"/>
      <w:numFmt w:val="bullet"/>
      <w:lvlText w:val="1"/>
      <w:lvlJc w:val="left"/>
      <w:pPr>
        <w:tabs>
          <w:tab w:val="num" w:pos="720"/>
        </w:tabs>
        <w:ind w:left="720" w:hanging="360"/>
      </w:pPr>
      <w:rPr>
        <w:rFonts w:ascii="Calibri" w:hAnsi="Calibri" w:hint="default"/>
      </w:rPr>
    </w:lvl>
    <w:lvl w:ilvl="1" w:tplc="90EC26C0" w:tentative="1">
      <w:start w:val="1"/>
      <w:numFmt w:val="bullet"/>
      <w:lvlText w:val="1"/>
      <w:lvlJc w:val="left"/>
      <w:pPr>
        <w:tabs>
          <w:tab w:val="num" w:pos="1440"/>
        </w:tabs>
        <w:ind w:left="1440" w:hanging="360"/>
      </w:pPr>
      <w:rPr>
        <w:rFonts w:ascii="Calibri" w:hAnsi="Calibri" w:hint="default"/>
      </w:rPr>
    </w:lvl>
    <w:lvl w:ilvl="2" w:tplc="1A0EFD4E" w:tentative="1">
      <w:start w:val="1"/>
      <w:numFmt w:val="bullet"/>
      <w:lvlText w:val="1"/>
      <w:lvlJc w:val="left"/>
      <w:pPr>
        <w:tabs>
          <w:tab w:val="num" w:pos="2160"/>
        </w:tabs>
        <w:ind w:left="2160" w:hanging="360"/>
      </w:pPr>
      <w:rPr>
        <w:rFonts w:ascii="Calibri" w:hAnsi="Calibri" w:hint="default"/>
      </w:rPr>
    </w:lvl>
    <w:lvl w:ilvl="3" w:tplc="3E1AC52C" w:tentative="1">
      <w:start w:val="1"/>
      <w:numFmt w:val="bullet"/>
      <w:lvlText w:val="1"/>
      <w:lvlJc w:val="left"/>
      <w:pPr>
        <w:tabs>
          <w:tab w:val="num" w:pos="2880"/>
        </w:tabs>
        <w:ind w:left="2880" w:hanging="360"/>
      </w:pPr>
      <w:rPr>
        <w:rFonts w:ascii="Calibri" w:hAnsi="Calibri" w:hint="default"/>
      </w:rPr>
    </w:lvl>
    <w:lvl w:ilvl="4" w:tplc="B28C5D1E" w:tentative="1">
      <w:start w:val="1"/>
      <w:numFmt w:val="bullet"/>
      <w:lvlText w:val="1"/>
      <w:lvlJc w:val="left"/>
      <w:pPr>
        <w:tabs>
          <w:tab w:val="num" w:pos="3600"/>
        </w:tabs>
        <w:ind w:left="3600" w:hanging="360"/>
      </w:pPr>
      <w:rPr>
        <w:rFonts w:ascii="Calibri" w:hAnsi="Calibri" w:hint="default"/>
      </w:rPr>
    </w:lvl>
    <w:lvl w:ilvl="5" w:tplc="CADCE0B6" w:tentative="1">
      <w:start w:val="1"/>
      <w:numFmt w:val="bullet"/>
      <w:lvlText w:val="1"/>
      <w:lvlJc w:val="left"/>
      <w:pPr>
        <w:tabs>
          <w:tab w:val="num" w:pos="4320"/>
        </w:tabs>
        <w:ind w:left="4320" w:hanging="360"/>
      </w:pPr>
      <w:rPr>
        <w:rFonts w:ascii="Calibri" w:hAnsi="Calibri" w:hint="default"/>
      </w:rPr>
    </w:lvl>
    <w:lvl w:ilvl="6" w:tplc="424E3F50" w:tentative="1">
      <w:start w:val="1"/>
      <w:numFmt w:val="bullet"/>
      <w:lvlText w:val="1"/>
      <w:lvlJc w:val="left"/>
      <w:pPr>
        <w:tabs>
          <w:tab w:val="num" w:pos="5040"/>
        </w:tabs>
        <w:ind w:left="5040" w:hanging="360"/>
      </w:pPr>
      <w:rPr>
        <w:rFonts w:ascii="Calibri" w:hAnsi="Calibri" w:hint="default"/>
      </w:rPr>
    </w:lvl>
    <w:lvl w:ilvl="7" w:tplc="3E50F096" w:tentative="1">
      <w:start w:val="1"/>
      <w:numFmt w:val="bullet"/>
      <w:lvlText w:val="1"/>
      <w:lvlJc w:val="left"/>
      <w:pPr>
        <w:tabs>
          <w:tab w:val="num" w:pos="5760"/>
        </w:tabs>
        <w:ind w:left="5760" w:hanging="360"/>
      </w:pPr>
      <w:rPr>
        <w:rFonts w:ascii="Calibri" w:hAnsi="Calibri" w:hint="default"/>
      </w:rPr>
    </w:lvl>
    <w:lvl w:ilvl="8" w:tplc="5B6CB888" w:tentative="1">
      <w:start w:val="1"/>
      <w:numFmt w:val="bullet"/>
      <w:lvlText w:val="1"/>
      <w:lvlJc w:val="left"/>
      <w:pPr>
        <w:tabs>
          <w:tab w:val="num" w:pos="6480"/>
        </w:tabs>
        <w:ind w:left="6480" w:hanging="360"/>
      </w:pPr>
      <w:rPr>
        <w:rFonts w:ascii="Calibri" w:hAnsi="Calibri" w:hint="default"/>
      </w:rPr>
    </w:lvl>
  </w:abstractNum>
  <w:abstractNum w:abstractNumId="16" w15:restartNumberingAfterBreak="0">
    <w:nsid w:val="762A7DD1"/>
    <w:multiLevelType w:val="hybridMultilevel"/>
    <w:tmpl w:val="622C86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D8517A"/>
    <w:multiLevelType w:val="hybridMultilevel"/>
    <w:tmpl w:val="1910DE9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8" w15:restartNumberingAfterBreak="0">
    <w:nsid w:val="7EF24BA1"/>
    <w:multiLevelType w:val="multilevel"/>
    <w:tmpl w:val="4AB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0"/>
  </w:num>
  <w:num w:numId="4">
    <w:abstractNumId w:val="14"/>
  </w:num>
  <w:num w:numId="5">
    <w:abstractNumId w:val="6"/>
  </w:num>
  <w:num w:numId="6">
    <w:abstractNumId w:val="1"/>
  </w:num>
  <w:num w:numId="7">
    <w:abstractNumId w:val="7"/>
  </w:num>
  <w:num w:numId="8">
    <w:abstractNumId w:val="4"/>
  </w:num>
  <w:num w:numId="9">
    <w:abstractNumId w:val="5"/>
  </w:num>
  <w:num w:numId="10">
    <w:abstractNumId w:val="13"/>
  </w:num>
  <w:num w:numId="11">
    <w:abstractNumId w:val="8"/>
  </w:num>
  <w:num w:numId="12">
    <w:abstractNumId w:val="12"/>
  </w:num>
  <w:num w:numId="13">
    <w:abstractNumId w:val="10"/>
  </w:num>
  <w:num w:numId="14">
    <w:abstractNumId w:val="18"/>
  </w:num>
  <w:num w:numId="15">
    <w:abstractNumId w:val="11"/>
  </w:num>
  <w:num w:numId="16">
    <w:abstractNumId w:val="2"/>
  </w:num>
  <w:num w:numId="17">
    <w:abstractNumId w:val="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EC"/>
    <w:rsid w:val="00027B07"/>
    <w:rsid w:val="00075A86"/>
    <w:rsid w:val="00082E6C"/>
    <w:rsid w:val="000918EC"/>
    <w:rsid w:val="00091B12"/>
    <w:rsid w:val="000D187D"/>
    <w:rsid w:val="000D2265"/>
    <w:rsid w:val="000E20CF"/>
    <w:rsid w:val="00166908"/>
    <w:rsid w:val="00185D58"/>
    <w:rsid w:val="001B366B"/>
    <w:rsid w:val="001C3F8A"/>
    <w:rsid w:val="001D4C3A"/>
    <w:rsid w:val="00273978"/>
    <w:rsid w:val="0027498D"/>
    <w:rsid w:val="002C04DD"/>
    <w:rsid w:val="002D246E"/>
    <w:rsid w:val="003073DB"/>
    <w:rsid w:val="003B799E"/>
    <w:rsid w:val="003F6785"/>
    <w:rsid w:val="0041106E"/>
    <w:rsid w:val="0042431F"/>
    <w:rsid w:val="00475DD3"/>
    <w:rsid w:val="004A11FE"/>
    <w:rsid w:val="004B5207"/>
    <w:rsid w:val="004E6AB7"/>
    <w:rsid w:val="005358E7"/>
    <w:rsid w:val="00537DE8"/>
    <w:rsid w:val="00543EDC"/>
    <w:rsid w:val="00567487"/>
    <w:rsid w:val="005C09FC"/>
    <w:rsid w:val="005D6731"/>
    <w:rsid w:val="005E03AC"/>
    <w:rsid w:val="006122C9"/>
    <w:rsid w:val="00612A98"/>
    <w:rsid w:val="00621016"/>
    <w:rsid w:val="0064563A"/>
    <w:rsid w:val="006824F2"/>
    <w:rsid w:val="00727339"/>
    <w:rsid w:val="007551E5"/>
    <w:rsid w:val="0077239C"/>
    <w:rsid w:val="007946C1"/>
    <w:rsid w:val="007D4C9A"/>
    <w:rsid w:val="0083274E"/>
    <w:rsid w:val="008920D3"/>
    <w:rsid w:val="008C692B"/>
    <w:rsid w:val="0090132C"/>
    <w:rsid w:val="00901515"/>
    <w:rsid w:val="0092433A"/>
    <w:rsid w:val="0094421E"/>
    <w:rsid w:val="00950123"/>
    <w:rsid w:val="009557C8"/>
    <w:rsid w:val="009D7054"/>
    <w:rsid w:val="009E3810"/>
    <w:rsid w:val="00A02422"/>
    <w:rsid w:val="00A52E53"/>
    <w:rsid w:val="00A84781"/>
    <w:rsid w:val="00A94595"/>
    <w:rsid w:val="00AF16B9"/>
    <w:rsid w:val="00B03B96"/>
    <w:rsid w:val="00B04D5B"/>
    <w:rsid w:val="00B27E4B"/>
    <w:rsid w:val="00B43384"/>
    <w:rsid w:val="00B61FA4"/>
    <w:rsid w:val="00BD34F5"/>
    <w:rsid w:val="00C10A9A"/>
    <w:rsid w:val="00C15FAE"/>
    <w:rsid w:val="00C2725A"/>
    <w:rsid w:val="00CD0D5C"/>
    <w:rsid w:val="00D1559B"/>
    <w:rsid w:val="00D60336"/>
    <w:rsid w:val="00DB1FD8"/>
    <w:rsid w:val="00E665C5"/>
    <w:rsid w:val="00E72B5C"/>
    <w:rsid w:val="00F153FE"/>
    <w:rsid w:val="00F169A1"/>
    <w:rsid w:val="00F74805"/>
    <w:rsid w:val="00F912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6254"/>
  <w15:docId w15:val="{2B978C19-9A47-4D67-9720-45BFCEBB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918EC"/>
    <w:pPr>
      <w:widowControl w:val="0"/>
      <w:autoSpaceDE w:val="0"/>
      <w:autoSpaceDN w:val="0"/>
      <w:spacing w:after="0" w:line="240" w:lineRule="auto"/>
    </w:pPr>
    <w:rPr>
      <w:rFonts w:ascii="Calibri" w:eastAsia="Calibri" w:hAnsi="Calibri" w:cs="Calibri"/>
      <w:lang w:val="es-ES" w:eastAsia="es-ES" w:bidi="es-ES"/>
    </w:rPr>
  </w:style>
  <w:style w:type="paragraph" w:styleId="Ttulo1">
    <w:name w:val="heading 1"/>
    <w:basedOn w:val="Normal"/>
    <w:link w:val="Ttulo1Car"/>
    <w:uiPriority w:val="1"/>
    <w:qFormat/>
    <w:rsid w:val="000918EC"/>
    <w:pPr>
      <w:ind w:left="142"/>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918EC"/>
    <w:rPr>
      <w:rFonts w:ascii="Calibri" w:eastAsia="Calibri" w:hAnsi="Calibri" w:cs="Calibri"/>
      <w:b/>
      <w:bCs/>
      <w:sz w:val="28"/>
      <w:szCs w:val="28"/>
      <w:lang w:val="es-ES" w:eastAsia="es-ES" w:bidi="es-ES"/>
    </w:rPr>
  </w:style>
  <w:style w:type="paragraph" w:styleId="Textoindependiente">
    <w:name w:val="Body Text"/>
    <w:basedOn w:val="Normal"/>
    <w:link w:val="TextoindependienteCar"/>
    <w:uiPriority w:val="1"/>
    <w:qFormat/>
    <w:rsid w:val="000918EC"/>
    <w:rPr>
      <w:sz w:val="24"/>
      <w:szCs w:val="24"/>
    </w:rPr>
  </w:style>
  <w:style w:type="character" w:customStyle="1" w:styleId="TextoindependienteCar">
    <w:name w:val="Texto independiente Car"/>
    <w:basedOn w:val="Fuentedeprrafopredeter"/>
    <w:link w:val="Textoindependiente"/>
    <w:uiPriority w:val="1"/>
    <w:rsid w:val="000918EC"/>
    <w:rPr>
      <w:rFonts w:ascii="Calibri" w:eastAsia="Calibri" w:hAnsi="Calibri" w:cs="Calibri"/>
      <w:sz w:val="24"/>
      <w:szCs w:val="24"/>
      <w:lang w:val="es-ES" w:eastAsia="es-ES" w:bidi="es-ES"/>
    </w:rPr>
  </w:style>
  <w:style w:type="paragraph" w:styleId="Prrafodelista">
    <w:name w:val="List Paragraph"/>
    <w:basedOn w:val="Normal"/>
    <w:uiPriority w:val="34"/>
    <w:qFormat/>
    <w:rsid w:val="000918EC"/>
    <w:pPr>
      <w:ind w:left="720"/>
      <w:contextualSpacing/>
    </w:pPr>
  </w:style>
  <w:style w:type="paragraph" w:styleId="Encabezado">
    <w:name w:val="header"/>
    <w:basedOn w:val="Normal"/>
    <w:link w:val="EncabezadoCar"/>
    <w:uiPriority w:val="99"/>
    <w:unhideWhenUsed/>
    <w:rsid w:val="004A11FE"/>
    <w:pPr>
      <w:tabs>
        <w:tab w:val="center" w:pos="4419"/>
        <w:tab w:val="right" w:pos="8838"/>
      </w:tabs>
    </w:pPr>
  </w:style>
  <w:style w:type="character" w:customStyle="1" w:styleId="EncabezadoCar">
    <w:name w:val="Encabezado Car"/>
    <w:basedOn w:val="Fuentedeprrafopredeter"/>
    <w:link w:val="Encabezado"/>
    <w:uiPriority w:val="99"/>
    <w:rsid w:val="004A11FE"/>
    <w:rPr>
      <w:rFonts w:ascii="Calibri" w:eastAsia="Calibri" w:hAnsi="Calibri" w:cs="Calibri"/>
      <w:lang w:val="es-ES" w:eastAsia="es-ES" w:bidi="es-ES"/>
    </w:rPr>
  </w:style>
  <w:style w:type="paragraph" w:styleId="Piedepgina">
    <w:name w:val="footer"/>
    <w:basedOn w:val="Normal"/>
    <w:link w:val="PiedepginaCar"/>
    <w:uiPriority w:val="99"/>
    <w:unhideWhenUsed/>
    <w:rsid w:val="004A11FE"/>
    <w:pPr>
      <w:tabs>
        <w:tab w:val="center" w:pos="4419"/>
        <w:tab w:val="right" w:pos="8838"/>
      </w:tabs>
    </w:pPr>
  </w:style>
  <w:style w:type="character" w:customStyle="1" w:styleId="PiedepginaCar">
    <w:name w:val="Pie de página Car"/>
    <w:basedOn w:val="Fuentedeprrafopredeter"/>
    <w:link w:val="Piedepgina"/>
    <w:uiPriority w:val="99"/>
    <w:rsid w:val="004A11FE"/>
    <w:rPr>
      <w:rFonts w:ascii="Calibri" w:eastAsia="Calibri" w:hAnsi="Calibri" w:cs="Calibri"/>
      <w:lang w:val="es-ES" w:eastAsia="es-ES" w:bidi="es-ES"/>
    </w:rPr>
  </w:style>
  <w:style w:type="paragraph" w:styleId="NormalWeb">
    <w:name w:val="Normal (Web)"/>
    <w:basedOn w:val="Normal"/>
    <w:uiPriority w:val="99"/>
    <w:semiHidden/>
    <w:unhideWhenUsed/>
    <w:rsid w:val="00082E6C"/>
    <w:pPr>
      <w:widowControl/>
      <w:autoSpaceDE/>
      <w:autoSpaceDN/>
      <w:spacing w:before="100" w:beforeAutospacing="1" w:after="100" w:afterAutospacing="1"/>
    </w:pPr>
    <w:rPr>
      <w:rFonts w:ascii="Times New Roman" w:eastAsia="Times New Roman" w:hAnsi="Times New Roman" w:cs="Times New Roman"/>
      <w:sz w:val="24"/>
      <w:szCs w:val="24"/>
      <w:lang w:val="es-MX" w:eastAsia="es-MX" w:bidi="ar-SA"/>
    </w:rPr>
  </w:style>
  <w:style w:type="character" w:styleId="Hipervnculo">
    <w:name w:val="Hyperlink"/>
    <w:basedOn w:val="Fuentedeprrafopredeter"/>
    <w:uiPriority w:val="99"/>
    <w:semiHidden/>
    <w:unhideWhenUsed/>
    <w:rsid w:val="00082E6C"/>
    <w:rPr>
      <w:color w:val="0000FF"/>
      <w:u w:val="single"/>
    </w:rPr>
  </w:style>
  <w:style w:type="table" w:styleId="Tablaconcuadrcula">
    <w:name w:val="Table Grid"/>
    <w:basedOn w:val="Tablanormal"/>
    <w:uiPriority w:val="59"/>
    <w:rsid w:val="0047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476">
      <w:bodyDiv w:val="1"/>
      <w:marLeft w:val="0"/>
      <w:marRight w:val="0"/>
      <w:marTop w:val="0"/>
      <w:marBottom w:val="0"/>
      <w:divBdr>
        <w:top w:val="none" w:sz="0" w:space="0" w:color="auto"/>
        <w:left w:val="none" w:sz="0" w:space="0" w:color="auto"/>
        <w:bottom w:val="none" w:sz="0" w:space="0" w:color="auto"/>
        <w:right w:val="none" w:sz="0" w:space="0" w:color="auto"/>
      </w:divBdr>
    </w:div>
    <w:div w:id="414594760">
      <w:bodyDiv w:val="1"/>
      <w:marLeft w:val="0"/>
      <w:marRight w:val="0"/>
      <w:marTop w:val="0"/>
      <w:marBottom w:val="0"/>
      <w:divBdr>
        <w:top w:val="none" w:sz="0" w:space="0" w:color="auto"/>
        <w:left w:val="none" w:sz="0" w:space="0" w:color="auto"/>
        <w:bottom w:val="none" w:sz="0" w:space="0" w:color="auto"/>
        <w:right w:val="none" w:sz="0" w:space="0" w:color="auto"/>
      </w:divBdr>
    </w:div>
    <w:div w:id="494145859">
      <w:bodyDiv w:val="1"/>
      <w:marLeft w:val="0"/>
      <w:marRight w:val="0"/>
      <w:marTop w:val="0"/>
      <w:marBottom w:val="0"/>
      <w:divBdr>
        <w:top w:val="none" w:sz="0" w:space="0" w:color="auto"/>
        <w:left w:val="none" w:sz="0" w:space="0" w:color="auto"/>
        <w:bottom w:val="none" w:sz="0" w:space="0" w:color="auto"/>
        <w:right w:val="none" w:sz="0" w:space="0" w:color="auto"/>
      </w:divBdr>
    </w:div>
    <w:div w:id="651912477">
      <w:bodyDiv w:val="1"/>
      <w:marLeft w:val="0"/>
      <w:marRight w:val="0"/>
      <w:marTop w:val="0"/>
      <w:marBottom w:val="0"/>
      <w:divBdr>
        <w:top w:val="none" w:sz="0" w:space="0" w:color="auto"/>
        <w:left w:val="none" w:sz="0" w:space="0" w:color="auto"/>
        <w:bottom w:val="none" w:sz="0" w:space="0" w:color="auto"/>
        <w:right w:val="none" w:sz="0" w:space="0" w:color="auto"/>
      </w:divBdr>
    </w:div>
    <w:div w:id="702218409">
      <w:bodyDiv w:val="1"/>
      <w:marLeft w:val="0"/>
      <w:marRight w:val="0"/>
      <w:marTop w:val="0"/>
      <w:marBottom w:val="0"/>
      <w:divBdr>
        <w:top w:val="none" w:sz="0" w:space="0" w:color="auto"/>
        <w:left w:val="none" w:sz="0" w:space="0" w:color="auto"/>
        <w:bottom w:val="none" w:sz="0" w:space="0" w:color="auto"/>
        <w:right w:val="none" w:sz="0" w:space="0" w:color="auto"/>
      </w:divBdr>
    </w:div>
    <w:div w:id="836118348">
      <w:bodyDiv w:val="1"/>
      <w:marLeft w:val="0"/>
      <w:marRight w:val="0"/>
      <w:marTop w:val="0"/>
      <w:marBottom w:val="0"/>
      <w:divBdr>
        <w:top w:val="none" w:sz="0" w:space="0" w:color="auto"/>
        <w:left w:val="none" w:sz="0" w:space="0" w:color="auto"/>
        <w:bottom w:val="none" w:sz="0" w:space="0" w:color="auto"/>
        <w:right w:val="none" w:sz="0" w:space="0" w:color="auto"/>
      </w:divBdr>
    </w:div>
    <w:div w:id="1118184601">
      <w:bodyDiv w:val="1"/>
      <w:marLeft w:val="0"/>
      <w:marRight w:val="0"/>
      <w:marTop w:val="0"/>
      <w:marBottom w:val="0"/>
      <w:divBdr>
        <w:top w:val="none" w:sz="0" w:space="0" w:color="auto"/>
        <w:left w:val="none" w:sz="0" w:space="0" w:color="auto"/>
        <w:bottom w:val="none" w:sz="0" w:space="0" w:color="auto"/>
        <w:right w:val="none" w:sz="0" w:space="0" w:color="auto"/>
      </w:divBdr>
    </w:div>
    <w:div w:id="1426225239">
      <w:bodyDiv w:val="1"/>
      <w:marLeft w:val="0"/>
      <w:marRight w:val="0"/>
      <w:marTop w:val="0"/>
      <w:marBottom w:val="0"/>
      <w:divBdr>
        <w:top w:val="none" w:sz="0" w:space="0" w:color="auto"/>
        <w:left w:val="none" w:sz="0" w:space="0" w:color="auto"/>
        <w:bottom w:val="none" w:sz="0" w:space="0" w:color="auto"/>
        <w:right w:val="none" w:sz="0" w:space="0" w:color="auto"/>
      </w:divBdr>
    </w:div>
    <w:div w:id="1505394293">
      <w:bodyDiv w:val="1"/>
      <w:marLeft w:val="0"/>
      <w:marRight w:val="0"/>
      <w:marTop w:val="0"/>
      <w:marBottom w:val="0"/>
      <w:divBdr>
        <w:top w:val="none" w:sz="0" w:space="0" w:color="auto"/>
        <w:left w:val="none" w:sz="0" w:space="0" w:color="auto"/>
        <w:bottom w:val="none" w:sz="0" w:space="0" w:color="auto"/>
        <w:right w:val="none" w:sz="0" w:space="0" w:color="auto"/>
      </w:divBdr>
    </w:div>
    <w:div w:id="1536428778">
      <w:bodyDiv w:val="1"/>
      <w:marLeft w:val="0"/>
      <w:marRight w:val="0"/>
      <w:marTop w:val="0"/>
      <w:marBottom w:val="0"/>
      <w:divBdr>
        <w:top w:val="none" w:sz="0" w:space="0" w:color="auto"/>
        <w:left w:val="none" w:sz="0" w:space="0" w:color="auto"/>
        <w:bottom w:val="none" w:sz="0" w:space="0" w:color="auto"/>
        <w:right w:val="none" w:sz="0" w:space="0" w:color="auto"/>
      </w:divBdr>
    </w:div>
    <w:div w:id="1555046892">
      <w:bodyDiv w:val="1"/>
      <w:marLeft w:val="0"/>
      <w:marRight w:val="0"/>
      <w:marTop w:val="0"/>
      <w:marBottom w:val="0"/>
      <w:divBdr>
        <w:top w:val="none" w:sz="0" w:space="0" w:color="auto"/>
        <w:left w:val="none" w:sz="0" w:space="0" w:color="auto"/>
        <w:bottom w:val="none" w:sz="0" w:space="0" w:color="auto"/>
        <w:right w:val="none" w:sz="0" w:space="0" w:color="auto"/>
      </w:divBdr>
    </w:div>
    <w:div w:id="1667321197">
      <w:bodyDiv w:val="1"/>
      <w:marLeft w:val="0"/>
      <w:marRight w:val="0"/>
      <w:marTop w:val="0"/>
      <w:marBottom w:val="0"/>
      <w:divBdr>
        <w:top w:val="none" w:sz="0" w:space="0" w:color="auto"/>
        <w:left w:val="none" w:sz="0" w:space="0" w:color="auto"/>
        <w:bottom w:val="none" w:sz="0" w:space="0" w:color="auto"/>
        <w:right w:val="none" w:sz="0" w:space="0" w:color="auto"/>
      </w:divBdr>
    </w:div>
    <w:div w:id="1771700375">
      <w:bodyDiv w:val="1"/>
      <w:marLeft w:val="0"/>
      <w:marRight w:val="0"/>
      <w:marTop w:val="0"/>
      <w:marBottom w:val="0"/>
      <w:divBdr>
        <w:top w:val="none" w:sz="0" w:space="0" w:color="auto"/>
        <w:left w:val="none" w:sz="0" w:space="0" w:color="auto"/>
        <w:bottom w:val="none" w:sz="0" w:space="0" w:color="auto"/>
        <w:right w:val="none" w:sz="0" w:space="0" w:color="auto"/>
      </w:divBdr>
    </w:div>
    <w:div w:id="1874027877">
      <w:bodyDiv w:val="1"/>
      <w:marLeft w:val="0"/>
      <w:marRight w:val="0"/>
      <w:marTop w:val="0"/>
      <w:marBottom w:val="0"/>
      <w:divBdr>
        <w:top w:val="none" w:sz="0" w:space="0" w:color="auto"/>
        <w:left w:val="none" w:sz="0" w:space="0" w:color="auto"/>
        <w:bottom w:val="none" w:sz="0" w:space="0" w:color="auto"/>
        <w:right w:val="none" w:sz="0" w:space="0" w:color="auto"/>
      </w:divBdr>
    </w:div>
    <w:div w:id="20694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61CB-35DD-4263-A445-E478E507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Secretaría de Finanzas</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Karina Sánchez Alvarado</dc:creator>
  <cp:lastModifiedBy>Juan Partida Morales</cp:lastModifiedBy>
  <cp:revision>6</cp:revision>
  <dcterms:created xsi:type="dcterms:W3CDTF">2020-06-13T17:59:00Z</dcterms:created>
  <dcterms:modified xsi:type="dcterms:W3CDTF">2020-06-13T19:01:00Z</dcterms:modified>
</cp:coreProperties>
</file>